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D" w:rsidRDefault="005C02AD" w:rsidP="00B97E24">
      <w:pPr>
        <w:spacing w:after="0" w:line="240" w:lineRule="auto"/>
        <w:jc w:val="center"/>
        <w:rPr>
          <w:b/>
          <w:sz w:val="28"/>
          <w:szCs w:val="28"/>
        </w:rPr>
      </w:pPr>
    </w:p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060B16">
        <w:rPr>
          <w:b/>
          <w:sz w:val="28"/>
          <w:szCs w:val="28"/>
        </w:rPr>
        <w:t>закупочной</w:t>
      </w:r>
      <w:r w:rsidR="00FB0A97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документации</w:t>
      </w:r>
      <w:r w:rsidR="000122D6" w:rsidRPr="0082724A">
        <w:rPr>
          <w:b/>
          <w:sz w:val="28"/>
          <w:szCs w:val="28"/>
        </w:rPr>
        <w:t xml:space="preserve"> </w:t>
      </w:r>
      <w:r w:rsidR="003A1D4E">
        <w:rPr>
          <w:b/>
          <w:sz w:val="28"/>
          <w:szCs w:val="28"/>
        </w:rPr>
        <w:t xml:space="preserve">от </w:t>
      </w:r>
      <w:r w:rsidR="00060B16">
        <w:rPr>
          <w:b/>
          <w:sz w:val="28"/>
          <w:szCs w:val="28"/>
        </w:rPr>
        <w:t>01</w:t>
      </w:r>
      <w:r w:rsidR="00FF1EC7">
        <w:rPr>
          <w:b/>
          <w:sz w:val="28"/>
          <w:szCs w:val="28"/>
        </w:rPr>
        <w:t>.</w:t>
      </w:r>
      <w:r w:rsidR="003F2642">
        <w:rPr>
          <w:b/>
          <w:sz w:val="28"/>
          <w:szCs w:val="28"/>
        </w:rPr>
        <w:t>0</w:t>
      </w:r>
      <w:r w:rsidR="00060B16">
        <w:rPr>
          <w:b/>
          <w:sz w:val="28"/>
          <w:szCs w:val="28"/>
        </w:rPr>
        <w:t>7</w:t>
      </w:r>
      <w:r w:rsidR="00FF1EC7" w:rsidRPr="00FF1EC7">
        <w:rPr>
          <w:b/>
          <w:sz w:val="28"/>
          <w:szCs w:val="28"/>
        </w:rPr>
        <w:t>.201</w:t>
      </w:r>
      <w:r w:rsidR="003F2642">
        <w:rPr>
          <w:b/>
          <w:sz w:val="28"/>
          <w:szCs w:val="28"/>
        </w:rPr>
        <w:t>5</w:t>
      </w:r>
      <w:r w:rsidR="00FF1EC7">
        <w:rPr>
          <w:b/>
          <w:sz w:val="28"/>
          <w:szCs w:val="28"/>
        </w:rPr>
        <w:t xml:space="preserve"> </w:t>
      </w:r>
      <w:r w:rsidR="00D32C63" w:rsidRPr="0082724A">
        <w:rPr>
          <w:b/>
          <w:sz w:val="28"/>
          <w:szCs w:val="28"/>
        </w:rPr>
        <w:t xml:space="preserve">г. </w:t>
      </w:r>
      <w:r w:rsidR="00900006" w:rsidRPr="0082724A">
        <w:rPr>
          <w:b/>
          <w:sz w:val="28"/>
          <w:szCs w:val="28"/>
        </w:rPr>
        <w:t xml:space="preserve">№ </w:t>
      </w:r>
      <w:r w:rsidR="00FB0A97">
        <w:rPr>
          <w:b/>
          <w:sz w:val="28"/>
          <w:szCs w:val="28"/>
        </w:rPr>
        <w:t>1</w:t>
      </w:r>
      <w:r w:rsidR="00D32C63" w:rsidRPr="0082724A">
        <w:rPr>
          <w:b/>
          <w:sz w:val="28"/>
          <w:szCs w:val="28"/>
        </w:rPr>
        <w:t xml:space="preserve"> 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511580">
        <w:rPr>
          <w:b/>
          <w:sz w:val="28"/>
          <w:szCs w:val="28"/>
        </w:rPr>
        <w:t xml:space="preserve">от </w:t>
      </w:r>
      <w:r w:rsidR="00060B16">
        <w:rPr>
          <w:b/>
          <w:sz w:val="28"/>
          <w:szCs w:val="28"/>
        </w:rPr>
        <w:t>26</w:t>
      </w:r>
      <w:r w:rsidR="002401F8" w:rsidRPr="002401F8">
        <w:rPr>
          <w:b/>
          <w:sz w:val="28"/>
          <w:szCs w:val="28"/>
        </w:rPr>
        <w:t xml:space="preserve">.06.2015 г. № </w:t>
      </w:r>
      <w:r w:rsidR="00060B16">
        <w:rPr>
          <w:b/>
          <w:sz w:val="28"/>
          <w:szCs w:val="28"/>
        </w:rPr>
        <w:t>ЗК-ДВТРК-226П</w:t>
      </w:r>
      <w:r w:rsidRPr="00D32C63">
        <w:rPr>
          <w:b/>
          <w:sz w:val="28"/>
          <w:szCs w:val="28"/>
        </w:rPr>
        <w:t>)</w:t>
      </w:r>
    </w:p>
    <w:tbl>
      <w:tblPr>
        <w:tblW w:w="935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43"/>
        <w:gridCol w:w="4963"/>
      </w:tblGrid>
      <w:tr w:rsidR="00900006" w:rsidRPr="00900006" w:rsidTr="009D728F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9D728F">
        <w:trPr>
          <w:trHeight w:val="3008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371A75" w:rsidRPr="00060B16" w:rsidRDefault="00060B16" w:rsidP="00956547">
            <w:pPr>
              <w:widowControl w:val="0"/>
              <w:spacing w:after="0" w:line="240" w:lineRule="auto"/>
              <w:jc w:val="both"/>
              <w:rPr>
                <w:rFonts w:eastAsia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ru-RU"/>
              </w:rPr>
              <w:t>Согласно пункту 7.2 проекта договора отчетным периодом является 1 календарный месяц. При этом проектом договора не предусмотрен порядок расчета по итогам отчетного периода. Просим разъяснить сумму вознаграждения исполнителя за оказанные услуги в отчетный период.</w:t>
            </w:r>
          </w:p>
        </w:tc>
        <w:tc>
          <w:tcPr>
            <w:tcW w:w="4963" w:type="dxa"/>
            <w:shd w:val="clear" w:color="auto" w:fill="auto"/>
          </w:tcPr>
          <w:p w:rsidR="000B0A58" w:rsidRDefault="000B0A58" w:rsidP="000B0A58">
            <w:pPr>
              <w:widowControl w:val="0"/>
              <w:spacing w:after="0" w:line="240" w:lineRule="auto"/>
              <w:jc w:val="both"/>
              <w:rPr>
                <w:rFonts w:eastAsia="Times New Roman"/>
                <w:kern w:val="2"/>
                <w:sz w:val="28"/>
                <w:szCs w:val="28"/>
                <w:lang w:eastAsia="ru-RU"/>
              </w:rPr>
            </w:pPr>
            <w:r w:rsidRPr="000B0A58">
              <w:rPr>
                <w:rFonts w:eastAsia="Times New Roman"/>
                <w:kern w:val="2"/>
                <w:sz w:val="28"/>
                <w:szCs w:val="28"/>
                <w:lang w:eastAsia="ru-RU"/>
              </w:rPr>
              <w:t xml:space="preserve">Согласно пункту </w:t>
            </w:r>
            <w:r w:rsidRPr="000B0A58">
              <w:rPr>
                <w:rFonts w:eastAsia="Times New Roman"/>
                <w:kern w:val="2"/>
                <w:sz w:val="28"/>
                <w:szCs w:val="28"/>
                <w:lang w:eastAsia="ru-RU"/>
              </w:rPr>
              <w:t>7.</w:t>
            </w:r>
            <w:r w:rsidRPr="000B0A58">
              <w:rPr>
                <w:rFonts w:eastAsia="Times New Roman"/>
                <w:kern w:val="2"/>
                <w:sz w:val="28"/>
                <w:szCs w:val="28"/>
                <w:lang w:eastAsia="ru-RU"/>
              </w:rPr>
              <w:t xml:space="preserve">3.1 проекта договора </w:t>
            </w:r>
            <w:r w:rsidRPr="000B0A58">
              <w:rPr>
                <w:rFonts w:eastAsia="Times New Roman"/>
                <w:kern w:val="2"/>
                <w:sz w:val="28"/>
                <w:szCs w:val="28"/>
                <w:lang w:eastAsia="ru-RU"/>
              </w:rPr>
              <w:t>п</w:t>
            </w:r>
            <w:r w:rsidRPr="000B0A58">
              <w:rPr>
                <w:rFonts w:eastAsia="Times New Roman"/>
                <w:kern w:val="2"/>
                <w:sz w:val="28"/>
                <w:szCs w:val="28"/>
                <w:lang w:eastAsia="ru-RU"/>
              </w:rPr>
              <w:t>о окончании каждого отчетного периода Заказчик принимает Услуги, оказанные Исполнителем, путём подписания Акт</w:t>
            </w:r>
            <w:r>
              <w:rPr>
                <w:rFonts w:eastAsia="Times New Roman"/>
                <w:kern w:val="2"/>
                <w:sz w:val="28"/>
                <w:szCs w:val="28"/>
                <w:lang w:eastAsia="ru-RU"/>
              </w:rPr>
              <w:t>а сдачи-приемки оказанных Услуг</w:t>
            </w:r>
            <w:r w:rsidRPr="000B0A58">
              <w:rPr>
                <w:rFonts w:eastAsia="Times New Roman"/>
                <w:kern w:val="2"/>
                <w:sz w:val="28"/>
                <w:szCs w:val="28"/>
                <w:lang w:eastAsia="ru-RU"/>
              </w:rPr>
              <w:t xml:space="preserve">. При этом Исполнитель обязуется в срок не позднее 10 календарных дней с начала месяца, следующего </w:t>
            </w:r>
            <w:proofErr w:type="gramStart"/>
            <w:r w:rsidRPr="000B0A58">
              <w:rPr>
                <w:rFonts w:eastAsia="Times New Roman"/>
                <w:kern w:val="2"/>
                <w:sz w:val="28"/>
                <w:szCs w:val="28"/>
                <w:lang w:eastAsia="ru-RU"/>
              </w:rPr>
              <w:t>за</w:t>
            </w:r>
            <w:proofErr w:type="gramEnd"/>
            <w:r w:rsidRPr="000B0A58">
              <w:rPr>
                <w:rFonts w:eastAsia="Times New Roman"/>
                <w:kern w:val="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B0A58">
              <w:rPr>
                <w:rFonts w:eastAsia="Times New Roman"/>
                <w:kern w:val="2"/>
                <w:sz w:val="28"/>
                <w:szCs w:val="28"/>
                <w:lang w:eastAsia="ru-RU"/>
              </w:rPr>
              <w:t>отчетным</w:t>
            </w:r>
            <w:proofErr w:type="gramEnd"/>
            <w:r w:rsidRPr="000B0A58">
              <w:rPr>
                <w:rFonts w:eastAsia="Times New Roman"/>
                <w:kern w:val="2"/>
                <w:sz w:val="28"/>
                <w:szCs w:val="28"/>
                <w:lang w:eastAsia="ru-RU"/>
              </w:rPr>
              <w:t xml:space="preserve">, представить Заказчику на подписание </w:t>
            </w:r>
            <w:r>
              <w:rPr>
                <w:rFonts w:eastAsia="Times New Roman"/>
                <w:kern w:val="2"/>
                <w:sz w:val="28"/>
                <w:szCs w:val="28"/>
                <w:lang w:eastAsia="ru-RU"/>
              </w:rPr>
              <w:t>Акт сдачи-приемки оказанных Услуг.</w:t>
            </w:r>
          </w:p>
          <w:p w:rsidR="0038692F" w:rsidRPr="000F1AA2" w:rsidRDefault="000B0A58" w:rsidP="0038692F">
            <w:pPr>
              <w:widowControl w:val="0"/>
              <w:spacing w:after="0" w:line="240" w:lineRule="auto"/>
              <w:jc w:val="both"/>
              <w:rPr>
                <w:rFonts w:eastAsia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ru-RU"/>
              </w:rPr>
              <w:t>Стоимость оказанных услуг за отчетный период</w:t>
            </w:r>
            <w:r w:rsidR="00811D99">
              <w:rPr>
                <w:rFonts w:eastAsia="Times New Roman"/>
                <w:kern w:val="2"/>
                <w:sz w:val="28"/>
                <w:szCs w:val="28"/>
                <w:lang w:eastAsia="ru-RU"/>
              </w:rPr>
              <w:t xml:space="preserve"> определяется пропорционально стоимости услуг по договору </w:t>
            </w:r>
            <w:r w:rsidR="0038692F">
              <w:rPr>
                <w:rFonts w:eastAsia="Times New Roman"/>
                <w:kern w:val="2"/>
                <w:sz w:val="28"/>
                <w:szCs w:val="28"/>
                <w:lang w:eastAsia="ru-RU"/>
              </w:rPr>
              <w:t>(стоимост</w:t>
            </w:r>
            <w:r w:rsidR="0038692F">
              <w:rPr>
                <w:rFonts w:eastAsia="Times New Roman"/>
                <w:kern w:val="2"/>
                <w:sz w:val="28"/>
                <w:szCs w:val="28"/>
                <w:lang w:eastAsia="ru-RU"/>
              </w:rPr>
              <w:t>ь</w:t>
            </w:r>
            <w:r w:rsidR="0038692F" w:rsidRPr="000F1AA2">
              <w:rPr>
                <w:rFonts w:eastAsia="Times New Roman"/>
                <w:kern w:val="2"/>
                <w:sz w:val="28"/>
                <w:szCs w:val="28"/>
                <w:lang w:eastAsia="ru-RU"/>
              </w:rPr>
              <w:t xml:space="preserve"> оказываемых услуг</w:t>
            </w:r>
            <w:r w:rsidR="0038692F">
              <w:rPr>
                <w:rFonts w:eastAsia="Times New Roman"/>
                <w:kern w:val="2"/>
                <w:sz w:val="28"/>
                <w:szCs w:val="28"/>
                <w:lang w:eastAsia="ru-RU"/>
              </w:rPr>
              <w:t>, определенн</w:t>
            </w:r>
            <w:r w:rsidR="0038692F">
              <w:rPr>
                <w:rFonts w:eastAsia="Times New Roman"/>
                <w:kern w:val="2"/>
                <w:sz w:val="28"/>
                <w:szCs w:val="28"/>
                <w:lang w:eastAsia="ru-RU"/>
              </w:rPr>
              <w:t>ая</w:t>
            </w:r>
            <w:r w:rsidR="0038692F">
              <w:rPr>
                <w:rFonts w:eastAsia="Times New Roman"/>
                <w:kern w:val="2"/>
                <w:sz w:val="28"/>
                <w:szCs w:val="28"/>
                <w:lang w:eastAsia="ru-RU"/>
              </w:rPr>
              <w:t xml:space="preserve"> пунктом 7.1 договора, </w:t>
            </w:r>
            <w:r w:rsidR="0038692F">
              <w:rPr>
                <w:rFonts w:eastAsia="Times New Roman"/>
                <w:kern w:val="2"/>
                <w:sz w:val="28"/>
                <w:szCs w:val="28"/>
                <w:lang w:eastAsia="ru-RU"/>
              </w:rPr>
              <w:t xml:space="preserve">деленная </w:t>
            </w:r>
            <w:r w:rsidR="0038692F">
              <w:rPr>
                <w:rFonts w:eastAsia="Times New Roman"/>
                <w:kern w:val="2"/>
                <w:sz w:val="28"/>
                <w:szCs w:val="28"/>
                <w:lang w:eastAsia="ru-RU"/>
              </w:rPr>
              <w:t xml:space="preserve">на количество дней оказания услуг, определенное пунктом </w:t>
            </w:r>
            <w:r w:rsidR="0038692F" w:rsidRPr="000B0A58">
              <w:rPr>
                <w:rFonts w:eastAsia="Times New Roman"/>
                <w:kern w:val="2"/>
                <w:sz w:val="28"/>
                <w:szCs w:val="28"/>
                <w:lang w:eastAsia="ru-RU"/>
              </w:rPr>
              <w:t>3.1</w:t>
            </w:r>
            <w:r w:rsidR="0038692F">
              <w:rPr>
                <w:rFonts w:eastAsia="Times New Roman"/>
                <w:kern w:val="2"/>
                <w:sz w:val="28"/>
                <w:szCs w:val="28"/>
                <w:lang w:eastAsia="ru-RU"/>
              </w:rPr>
              <w:t xml:space="preserve"> договора (в случае заключения договора в июле 2015 г. количество дней равно 62)</w:t>
            </w:r>
            <w:r w:rsidR="0038692F">
              <w:rPr>
                <w:rFonts w:eastAsia="Times New Roman"/>
                <w:kern w:val="2"/>
                <w:sz w:val="28"/>
                <w:szCs w:val="28"/>
                <w:lang w:eastAsia="ru-RU"/>
              </w:rPr>
              <w:t xml:space="preserve"> и умноженное на</w:t>
            </w:r>
            <w:r w:rsidR="0038692F">
              <w:rPr>
                <w:rFonts w:eastAsia="Times New Roman"/>
                <w:kern w:val="2"/>
                <w:sz w:val="28"/>
                <w:szCs w:val="28"/>
                <w:lang w:eastAsia="ru-RU"/>
              </w:rPr>
              <w:t xml:space="preserve"> количество дней в отчетном периоде</w:t>
            </w:r>
            <w:r w:rsidR="0038692F">
              <w:rPr>
                <w:rFonts w:eastAsia="Times New Roman"/>
                <w:kern w:val="2"/>
                <w:sz w:val="28"/>
                <w:szCs w:val="28"/>
                <w:lang w:eastAsia="ru-RU"/>
              </w:rPr>
              <w:t>)</w:t>
            </w:r>
            <w:r w:rsidR="0038692F">
              <w:rPr>
                <w:rFonts w:eastAsia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</w:tr>
      <w:tr w:rsidR="00060B16" w:rsidRPr="00900006" w:rsidTr="009D728F">
        <w:trPr>
          <w:trHeight w:val="3008"/>
        </w:trPr>
        <w:tc>
          <w:tcPr>
            <w:tcW w:w="851" w:type="dxa"/>
            <w:shd w:val="clear" w:color="auto" w:fill="auto"/>
            <w:vAlign w:val="center"/>
          </w:tcPr>
          <w:p w:rsidR="00060B16" w:rsidRDefault="00060B16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060B16" w:rsidRDefault="00B539A3" w:rsidP="00956547">
            <w:pPr>
              <w:widowControl w:val="0"/>
              <w:spacing w:after="0" w:line="240" w:lineRule="auto"/>
              <w:jc w:val="both"/>
              <w:rPr>
                <w:rFonts w:eastAsia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ru-RU"/>
              </w:rPr>
              <w:t>Просим подтверди</w:t>
            </w:r>
            <w:r w:rsidR="00A71AD8">
              <w:rPr>
                <w:rFonts w:eastAsia="Times New Roman"/>
                <w:kern w:val="2"/>
                <w:sz w:val="28"/>
                <w:szCs w:val="28"/>
                <w:lang w:eastAsia="ru-RU"/>
              </w:rPr>
              <w:t>ть, что в цену договора не входи</w:t>
            </w:r>
            <w:r>
              <w:rPr>
                <w:rFonts w:eastAsia="Times New Roman"/>
                <w:kern w:val="2"/>
                <w:sz w:val="28"/>
                <w:szCs w:val="28"/>
                <w:lang w:eastAsia="ru-RU"/>
              </w:rPr>
              <w:t xml:space="preserve">т </w:t>
            </w:r>
            <w:r w:rsidR="00A71AD8">
              <w:rPr>
                <w:rFonts w:eastAsia="Times New Roman"/>
                <w:kern w:val="2"/>
                <w:sz w:val="28"/>
                <w:szCs w:val="28"/>
                <w:lang w:eastAsia="ru-RU"/>
              </w:rPr>
              <w:t>стоимость</w:t>
            </w:r>
            <w:r w:rsidR="006C50FE">
              <w:rPr>
                <w:rFonts w:eastAsia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kern w:val="2"/>
                <w:sz w:val="28"/>
                <w:szCs w:val="28"/>
                <w:lang w:eastAsia="ru-RU"/>
              </w:rPr>
              <w:t>следу</w:t>
            </w:r>
            <w:r w:rsidR="006C50FE">
              <w:rPr>
                <w:rFonts w:eastAsia="Times New Roman"/>
                <w:kern w:val="2"/>
                <w:sz w:val="28"/>
                <w:szCs w:val="28"/>
                <w:lang w:eastAsia="ru-RU"/>
              </w:rPr>
              <w:t>ющих услуг, оказываемых независимыми специализированными (лицензированными) организациями:</w:t>
            </w:r>
          </w:p>
          <w:p w:rsidR="006C50FE" w:rsidRDefault="006C50FE" w:rsidP="00956547">
            <w:pPr>
              <w:widowControl w:val="0"/>
              <w:spacing w:after="0" w:line="240" w:lineRule="auto"/>
              <w:jc w:val="both"/>
              <w:rPr>
                <w:rFonts w:eastAsia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ru-RU"/>
              </w:rPr>
              <w:t>- проведение ежегодного технического освидетельствования;</w:t>
            </w:r>
          </w:p>
          <w:p w:rsidR="006C50FE" w:rsidRDefault="006C50FE" w:rsidP="00956547">
            <w:pPr>
              <w:widowControl w:val="0"/>
              <w:spacing w:after="0" w:line="240" w:lineRule="auto"/>
              <w:jc w:val="both"/>
              <w:rPr>
                <w:rFonts w:eastAsia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ru-RU"/>
              </w:rPr>
              <w:t>- испытание сопротивления заземления на канатной дороге;</w:t>
            </w:r>
          </w:p>
          <w:p w:rsidR="006C50FE" w:rsidRDefault="006C50FE" w:rsidP="00956547">
            <w:pPr>
              <w:widowControl w:val="0"/>
              <w:spacing w:after="0" w:line="240" w:lineRule="auto"/>
              <w:jc w:val="both"/>
              <w:rPr>
                <w:rFonts w:eastAsia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ru-RU"/>
              </w:rPr>
              <w:t>- страхование гражданской ответственности владельца опасного производственного объекта.</w:t>
            </w:r>
          </w:p>
        </w:tc>
        <w:tc>
          <w:tcPr>
            <w:tcW w:w="4963" w:type="dxa"/>
            <w:shd w:val="clear" w:color="auto" w:fill="auto"/>
          </w:tcPr>
          <w:p w:rsidR="006C50FE" w:rsidRDefault="00A71AD8" w:rsidP="006C50FE">
            <w:pPr>
              <w:widowControl w:val="0"/>
              <w:spacing w:after="0" w:line="240" w:lineRule="auto"/>
              <w:jc w:val="both"/>
              <w:rPr>
                <w:rFonts w:eastAsia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ru-RU"/>
              </w:rPr>
              <w:t>В цену договора не входи</w:t>
            </w:r>
            <w:r w:rsidR="006C50FE">
              <w:rPr>
                <w:rFonts w:eastAsia="Times New Roman"/>
                <w:kern w:val="2"/>
                <w:sz w:val="28"/>
                <w:szCs w:val="28"/>
                <w:lang w:eastAsia="ru-RU"/>
              </w:rPr>
              <w:t xml:space="preserve">т </w:t>
            </w:r>
            <w:r>
              <w:rPr>
                <w:rFonts w:eastAsia="Times New Roman"/>
                <w:kern w:val="2"/>
                <w:sz w:val="28"/>
                <w:szCs w:val="28"/>
                <w:lang w:eastAsia="ru-RU"/>
              </w:rPr>
              <w:t>стоимость</w:t>
            </w:r>
            <w:r w:rsidR="006C50FE">
              <w:rPr>
                <w:rFonts w:eastAsia="Times New Roman"/>
                <w:kern w:val="2"/>
                <w:sz w:val="28"/>
                <w:szCs w:val="28"/>
                <w:lang w:eastAsia="ru-RU"/>
              </w:rPr>
              <w:t xml:space="preserve"> услуг</w:t>
            </w:r>
            <w:r>
              <w:rPr>
                <w:rFonts w:eastAsia="Times New Roman"/>
                <w:kern w:val="2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kern w:val="2"/>
                <w:sz w:val="28"/>
                <w:szCs w:val="28"/>
                <w:lang w:eastAsia="ru-RU"/>
              </w:rPr>
              <w:t>на</w:t>
            </w:r>
            <w:proofErr w:type="gramEnd"/>
            <w:r w:rsidR="006C50FE">
              <w:rPr>
                <w:rFonts w:eastAsia="Times New Roman"/>
                <w:kern w:val="2"/>
                <w:sz w:val="28"/>
                <w:szCs w:val="28"/>
                <w:lang w:eastAsia="ru-RU"/>
              </w:rPr>
              <w:t>:</w:t>
            </w:r>
          </w:p>
          <w:p w:rsidR="006C50FE" w:rsidRDefault="006C50FE" w:rsidP="006C50FE">
            <w:pPr>
              <w:widowControl w:val="0"/>
              <w:spacing w:after="0" w:line="240" w:lineRule="auto"/>
              <w:jc w:val="both"/>
              <w:rPr>
                <w:rFonts w:eastAsia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ru-RU"/>
              </w:rPr>
              <w:t>- проведение ежегодного технического освидетельствования;</w:t>
            </w:r>
          </w:p>
          <w:p w:rsidR="006C50FE" w:rsidRDefault="006C50FE" w:rsidP="006C50FE">
            <w:pPr>
              <w:widowControl w:val="0"/>
              <w:spacing w:after="0" w:line="240" w:lineRule="auto"/>
              <w:jc w:val="both"/>
              <w:rPr>
                <w:rFonts w:eastAsia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ru-RU"/>
              </w:rPr>
              <w:t>- испытание сопротивления заземления на канатной дороге;</w:t>
            </w:r>
          </w:p>
          <w:p w:rsidR="006C50FE" w:rsidRDefault="006C50FE" w:rsidP="006C50FE">
            <w:pPr>
              <w:widowControl w:val="0"/>
              <w:spacing w:after="0" w:line="240" w:lineRule="auto"/>
              <w:jc w:val="both"/>
              <w:rPr>
                <w:rFonts w:eastAsia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ru-RU"/>
              </w:rPr>
              <w:t>- страхование гражданской ответственности владельца опасного производственного объекта.</w:t>
            </w:r>
          </w:p>
          <w:p w:rsidR="006C50FE" w:rsidRPr="00060B16" w:rsidRDefault="006C50FE" w:rsidP="006C50FE">
            <w:pPr>
              <w:spacing w:after="120" w:line="240" w:lineRule="auto"/>
              <w:contextualSpacing/>
              <w:rPr>
                <w:sz w:val="28"/>
                <w:szCs w:val="28"/>
              </w:rPr>
            </w:pPr>
          </w:p>
        </w:tc>
      </w:tr>
    </w:tbl>
    <w:p w:rsidR="00EE5B21" w:rsidRPr="0082724A" w:rsidRDefault="00EE5B21" w:rsidP="009D728F">
      <w:pPr>
        <w:widowControl w:val="0"/>
        <w:spacing w:after="0" w:line="240" w:lineRule="auto"/>
        <w:rPr>
          <w:sz w:val="28"/>
          <w:szCs w:val="28"/>
        </w:rPr>
      </w:pPr>
    </w:p>
    <w:sectPr w:rsidR="00EE5B21" w:rsidRPr="0082724A" w:rsidSect="009D728F">
      <w:pgSz w:w="11906" w:h="16838"/>
      <w:pgMar w:top="851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08D6"/>
    <w:rsid w:val="000122D6"/>
    <w:rsid w:val="0003730F"/>
    <w:rsid w:val="00060B16"/>
    <w:rsid w:val="0007631E"/>
    <w:rsid w:val="000B0A58"/>
    <w:rsid w:val="000F1AA2"/>
    <w:rsid w:val="00100BBA"/>
    <w:rsid w:val="001056D7"/>
    <w:rsid w:val="001469C6"/>
    <w:rsid w:val="00155BEB"/>
    <w:rsid w:val="00160790"/>
    <w:rsid w:val="00164938"/>
    <w:rsid w:val="0018785E"/>
    <w:rsid w:val="0019396C"/>
    <w:rsid w:val="00196F04"/>
    <w:rsid w:val="001B689D"/>
    <w:rsid w:val="001E137D"/>
    <w:rsid w:val="002176AE"/>
    <w:rsid w:val="002401F8"/>
    <w:rsid w:val="002405A3"/>
    <w:rsid w:val="00280A92"/>
    <w:rsid w:val="00287C9F"/>
    <w:rsid w:val="00295061"/>
    <w:rsid w:val="00295A6A"/>
    <w:rsid w:val="00297BBD"/>
    <w:rsid w:val="002B1050"/>
    <w:rsid w:val="002B5819"/>
    <w:rsid w:val="002F3856"/>
    <w:rsid w:val="00352054"/>
    <w:rsid w:val="003647CC"/>
    <w:rsid w:val="00371A75"/>
    <w:rsid w:val="0038692F"/>
    <w:rsid w:val="00387E1F"/>
    <w:rsid w:val="00390B54"/>
    <w:rsid w:val="0039541E"/>
    <w:rsid w:val="003A1D4E"/>
    <w:rsid w:val="003C507F"/>
    <w:rsid w:val="003C79D9"/>
    <w:rsid w:val="003D0279"/>
    <w:rsid w:val="003D570A"/>
    <w:rsid w:val="003F2156"/>
    <w:rsid w:val="003F2642"/>
    <w:rsid w:val="00433ACC"/>
    <w:rsid w:val="00453C1E"/>
    <w:rsid w:val="004752B8"/>
    <w:rsid w:val="0048661E"/>
    <w:rsid w:val="00511580"/>
    <w:rsid w:val="005324FE"/>
    <w:rsid w:val="00534A9D"/>
    <w:rsid w:val="00536F02"/>
    <w:rsid w:val="00576B8C"/>
    <w:rsid w:val="005B6C5F"/>
    <w:rsid w:val="005C02AD"/>
    <w:rsid w:val="005E5B96"/>
    <w:rsid w:val="00617175"/>
    <w:rsid w:val="006B279F"/>
    <w:rsid w:val="006C3A52"/>
    <w:rsid w:val="006C50FE"/>
    <w:rsid w:val="006C6DAA"/>
    <w:rsid w:val="007574D9"/>
    <w:rsid w:val="00782F54"/>
    <w:rsid w:val="007D19BC"/>
    <w:rsid w:val="007E027E"/>
    <w:rsid w:val="00811D99"/>
    <w:rsid w:val="0082724A"/>
    <w:rsid w:val="00856CA4"/>
    <w:rsid w:val="0087031A"/>
    <w:rsid w:val="008B19C1"/>
    <w:rsid w:val="008E7754"/>
    <w:rsid w:val="00900006"/>
    <w:rsid w:val="00903DA3"/>
    <w:rsid w:val="00930CF4"/>
    <w:rsid w:val="00942C57"/>
    <w:rsid w:val="00956547"/>
    <w:rsid w:val="00987B40"/>
    <w:rsid w:val="009A14F1"/>
    <w:rsid w:val="009A461D"/>
    <w:rsid w:val="009C146A"/>
    <w:rsid w:val="009C4CDF"/>
    <w:rsid w:val="009D53C1"/>
    <w:rsid w:val="009D728F"/>
    <w:rsid w:val="009E1A21"/>
    <w:rsid w:val="009F1ED6"/>
    <w:rsid w:val="009F3A49"/>
    <w:rsid w:val="00A1445B"/>
    <w:rsid w:val="00A22919"/>
    <w:rsid w:val="00A40ED4"/>
    <w:rsid w:val="00A463D6"/>
    <w:rsid w:val="00A53080"/>
    <w:rsid w:val="00A71AD8"/>
    <w:rsid w:val="00AA5475"/>
    <w:rsid w:val="00AB698C"/>
    <w:rsid w:val="00AD4F8C"/>
    <w:rsid w:val="00AE6BCA"/>
    <w:rsid w:val="00AF2DBC"/>
    <w:rsid w:val="00B47BB1"/>
    <w:rsid w:val="00B539A3"/>
    <w:rsid w:val="00B97E24"/>
    <w:rsid w:val="00BB4B1C"/>
    <w:rsid w:val="00BC7911"/>
    <w:rsid w:val="00BC7F5B"/>
    <w:rsid w:val="00C033DE"/>
    <w:rsid w:val="00C133E4"/>
    <w:rsid w:val="00C475E0"/>
    <w:rsid w:val="00C97C96"/>
    <w:rsid w:val="00D0011A"/>
    <w:rsid w:val="00D05A94"/>
    <w:rsid w:val="00D23003"/>
    <w:rsid w:val="00D32C63"/>
    <w:rsid w:val="00D3681D"/>
    <w:rsid w:val="00D93C6F"/>
    <w:rsid w:val="00D97A21"/>
    <w:rsid w:val="00DA2D21"/>
    <w:rsid w:val="00DC05E4"/>
    <w:rsid w:val="00DC792A"/>
    <w:rsid w:val="00DE0830"/>
    <w:rsid w:val="00DE23A4"/>
    <w:rsid w:val="00DE408D"/>
    <w:rsid w:val="00DE7445"/>
    <w:rsid w:val="00E126F4"/>
    <w:rsid w:val="00E13057"/>
    <w:rsid w:val="00E155AD"/>
    <w:rsid w:val="00E21B77"/>
    <w:rsid w:val="00E260E4"/>
    <w:rsid w:val="00E37531"/>
    <w:rsid w:val="00E4233A"/>
    <w:rsid w:val="00E459F9"/>
    <w:rsid w:val="00E56FBD"/>
    <w:rsid w:val="00EA0C2A"/>
    <w:rsid w:val="00EA71FA"/>
    <w:rsid w:val="00ED3C28"/>
    <w:rsid w:val="00ED3EAF"/>
    <w:rsid w:val="00EE5B21"/>
    <w:rsid w:val="00F1384A"/>
    <w:rsid w:val="00F66369"/>
    <w:rsid w:val="00F764EF"/>
    <w:rsid w:val="00F829AD"/>
    <w:rsid w:val="00FB0A97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E4233A"/>
    <w:pPr>
      <w:spacing w:after="60" w:line="240" w:lineRule="auto"/>
      <w:jc w:val="both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E4233A"/>
    <w:pPr>
      <w:spacing w:after="60" w:line="240" w:lineRule="auto"/>
      <w:jc w:val="both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31</cp:revision>
  <cp:lastPrinted>2015-06-24T08:08:00Z</cp:lastPrinted>
  <dcterms:created xsi:type="dcterms:W3CDTF">2015-02-25T12:54:00Z</dcterms:created>
  <dcterms:modified xsi:type="dcterms:W3CDTF">2015-07-01T08:35:00Z</dcterms:modified>
</cp:coreProperties>
</file>