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BC54D2">
        <w:rPr>
          <w:rFonts w:ascii="Times New Roman" w:hAnsi="Times New Roman" w:cs="Times New Roman"/>
          <w:b/>
          <w:sz w:val="24"/>
          <w:szCs w:val="24"/>
        </w:rPr>
        <w:t>11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BB6E5B">
        <w:rPr>
          <w:rFonts w:ascii="Times New Roman" w:hAnsi="Times New Roman" w:cs="Times New Roman"/>
          <w:b/>
          <w:sz w:val="24"/>
          <w:szCs w:val="24"/>
        </w:rPr>
        <w:t>11</w:t>
      </w:r>
      <w:r w:rsidRPr="002643A6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643A6">
        <w:rPr>
          <w:rFonts w:ascii="Times New Roman" w:hAnsi="Times New Roman" w:cs="Times New Roman"/>
          <w:b/>
          <w:sz w:val="24"/>
          <w:szCs w:val="24"/>
        </w:rPr>
        <w:t>9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6E5B">
        <w:rPr>
          <w:rFonts w:ascii="Times New Roman" w:hAnsi="Times New Roman" w:cs="Times New Roman"/>
          <w:b/>
          <w:sz w:val="24"/>
          <w:szCs w:val="24"/>
        </w:rPr>
        <w:t>30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BB6E5B">
        <w:rPr>
          <w:rFonts w:ascii="Times New Roman" w:hAnsi="Times New Roman" w:cs="Times New Roman"/>
          <w:b/>
          <w:sz w:val="24"/>
          <w:szCs w:val="24"/>
        </w:rPr>
        <w:t>10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 xml:space="preserve">.2019 г. № </w:t>
      </w:r>
      <w:r w:rsidR="00BB6E5B" w:rsidRPr="00BB6E5B">
        <w:rPr>
          <w:rFonts w:ascii="Times New Roman" w:hAnsi="Times New Roman" w:cs="Times New Roman"/>
          <w:b/>
          <w:sz w:val="24"/>
          <w:szCs w:val="24"/>
        </w:rPr>
        <w:t>№ АЭФ-ДРИ-179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211"/>
      </w:tblGrid>
      <w:tr w:rsidR="00B71F89" w:rsidRPr="002643A6" w:rsidTr="00BC54D2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C747E" w:rsidRPr="002643A6" w:rsidTr="00123F79">
        <w:tc>
          <w:tcPr>
            <w:tcW w:w="568" w:type="dxa"/>
            <w:shd w:val="clear" w:color="auto" w:fill="auto"/>
            <w:vAlign w:val="center"/>
          </w:tcPr>
          <w:p w:rsidR="00DC747E" w:rsidRPr="002643A6" w:rsidRDefault="00BC54D2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54D2" w:rsidRDefault="00BC54D2" w:rsidP="00BC54D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54D2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22 Раздела 4 Приложения №1 к проекту договора поставки «Состав и график поставки комплекта технологического оборудования канатной дороги по объекту: «Всесезонный туристско-рекреационный комплекс «Ведучи», Чеченская Республика. Пассажирская подвесная канатная дорога VL1»» указано 22 Комплект гондол для обеспечения производительности ППКД - 2400 чел/час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4D2">
              <w:rPr>
                <w:rFonts w:ascii="Times New Roman" w:hAnsi="Times New Roman" w:cs="Times New Roman"/>
                <w:sz w:val="24"/>
                <w:szCs w:val="24"/>
              </w:rPr>
              <w:t xml:space="preserve"> В то же время в ОПЗ проекта, получившего положительное заключение ФАУ «Главгосэкспертиза» (лист 15-16) указаны основные технические характеристики, параметры которых не соответствуют расчетам. Указана производительность 2400 чел/час (по 1200 в каждом направлении), что не соответствует приведенным параметрам количества кабин (30+1 щт), интервалам между кабинами (358,3 м) и скорости движения (40 с). Просим Вас уточнить, на какую максимальную производительностью в одном направлении необходимо руководствоваться для расчета оборудования ППКД и количества кабин для поставки. </w:t>
            </w:r>
          </w:p>
          <w:p w:rsidR="00DC747E" w:rsidRPr="002643A6" w:rsidRDefault="00BC54D2" w:rsidP="00BC54D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C54D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проектной документации приложен Маркетинговый анализ, на основании которого рассчитана начальная максимальная цена договора 4 218 775 304,1 рублей с учетом НДС. В состав данного Маркетингового анализа входят коммерческие предложения на поставку 18 кабин для достижения производительности 1400 чел/час без указания в одном или двух направлениях. В тоже время проектом предусмотрен состав оборудования 30+1 кабины. Просим вас разъяснить, на какое количество кабин и на какую максимальную производительность в одном направлении необходимо руководствоваться для расчета оборудования ППКД и количества кабин для поставки.</w:t>
            </w:r>
          </w:p>
        </w:tc>
        <w:tc>
          <w:tcPr>
            <w:tcW w:w="5211" w:type="dxa"/>
            <w:shd w:val="clear" w:color="auto" w:fill="auto"/>
          </w:tcPr>
          <w:p w:rsidR="00DC747E" w:rsidRPr="00BC54D2" w:rsidRDefault="00DC747E" w:rsidP="00123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7E"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канатной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DC747E">
              <w:rPr>
                <w:rFonts w:ascii="Times New Roman" w:hAnsi="Times New Roman" w:cs="Times New Roman"/>
                <w:sz w:val="24"/>
                <w:szCs w:val="24"/>
              </w:rPr>
              <w:t xml:space="preserve"> принятая в проектной документации в соответствии с заданием Заказчика на проектирование, составляет 2400 чел/час. Под этим подразумевается производительность 2400 чел/час в каждом направлении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7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Общей пояснительной записки на л.15 допущена </w:t>
            </w:r>
            <w:bookmarkStart w:id="0" w:name="_GoBack"/>
            <w:bookmarkEnd w:id="0"/>
            <w:r w:rsidRPr="00DC747E">
              <w:rPr>
                <w:rFonts w:ascii="Times New Roman" w:hAnsi="Times New Roman" w:cs="Times New Roman"/>
                <w:sz w:val="24"/>
                <w:szCs w:val="24"/>
              </w:rPr>
              <w:t>неточность в описании производительности канатной дороги. Вместе с тем, данная проектная документация имеет положительное заключение ФАУ «Главгосэкспертиза России» (№ 20-1-1-3-023077-2019 от 30.08.19.), в связи с чем Заказчик считает нецелесообразным внесение изменений в проектную документацию, и настоящим разъясняет требование по производительности канатной дороги. Таким образом, участник закупки в целях обеспечения соответствия предлагаемого товара требованиям закупочной документации должен гарантировать в соответствии с п.22 Раздела 4 Приложения №1 к проекту договора поставки в составе закупочной документации, достижение товаром (оборудованием канатной дороги) производительности 2400 чел/час в каждом из направлений движения единовременно.  При этом количество гондол, соответствующее производительности канатной дороги согласно проектной документации, учтено в проектной документации как 30 шт. вместимостью 32 человека при скорости движения подвижного состава в линии 7,5 м/с.</w:t>
            </w:r>
          </w:p>
        </w:tc>
      </w:tr>
      <w:tr w:rsidR="00B71F89" w:rsidRPr="002643A6" w:rsidTr="00BC54D2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643A6" w:rsidRDefault="00BB6E5B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90A1A" w:rsidRPr="00BB6E5B" w:rsidRDefault="00BB6E5B" w:rsidP="00E70154">
            <w:pPr>
              <w:tabs>
                <w:tab w:val="left" w:pos="666"/>
                <w:tab w:val="left" w:pos="89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 xml:space="preserve">В пункте 32 раздела 2 ИНФОРМАЦИОННАЯ КАРТА ЭЛЕКТРОННОГО АУКЦИОНА указаны реквизиты для перечисления обеспечения исполнения договора: ИНН: 2632100740, </w:t>
            </w:r>
            <w:r w:rsidRPr="00BB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770301001 Наименование: УФК по г. Москве (Акционерное общество «Курорты Северного Кавказа» л/сч 41736Э79340) р/счет № 40501810445251000179 Банк: ГУ Банка России по ЦФО БИК: 044525000 Назначение платежа: обеспечение исполнения договора на право заключения договора на поставку оборудования канатной дороги для объекта «Пассажирская подвесная канатная дорога гондольного типа SL1 для п. Романтик, ВТРК «Архыз». Просим уточнить назначение платежа.</w:t>
            </w:r>
          </w:p>
        </w:tc>
        <w:tc>
          <w:tcPr>
            <w:tcW w:w="5211" w:type="dxa"/>
            <w:shd w:val="clear" w:color="auto" w:fill="auto"/>
          </w:tcPr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Назначение платежа читать в следующей редакции: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на право заключения договора на поставку высокотехнологичного оборудования канатной </w:t>
            </w:r>
            <w:r w:rsidRPr="00BB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для объекта «Всесезонный туристско-рекреационный комплекс «Ведучи», Чеченская Республика. Пассажирская подвесная канатная дорога VL1».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остаются неизменными: 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>ИНН: 2632100740, КПП 770301001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>Наименование: УФК по г. Москве (Акционерное общество «Курорты Северного Кавказа» л/сч 41736Э79340)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>р/счет № 40501810445251000179</w:t>
            </w:r>
          </w:p>
          <w:p w:rsidR="00BB6E5B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 xml:space="preserve">Банк: ГУ Банка России по ЦФО </w:t>
            </w:r>
          </w:p>
          <w:p w:rsidR="00B62DF6" w:rsidRPr="00BB6E5B" w:rsidRDefault="00BB6E5B" w:rsidP="00BB6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5B">
              <w:rPr>
                <w:rFonts w:ascii="Times New Roman" w:hAnsi="Times New Roman" w:cs="Times New Roman"/>
                <w:sz w:val="24"/>
                <w:szCs w:val="24"/>
              </w:rPr>
              <w:t>БИК: 044525000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123F79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3F7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E5B"/>
    <w:rsid w:val="00BB704D"/>
    <w:rsid w:val="00BC2023"/>
    <w:rsid w:val="00BC3084"/>
    <w:rsid w:val="00BC54D2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C747E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C42FCF"/>
  <w15:docId w15:val="{2F0D88A3-4947-4AF7-B8F4-90FE3C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D750-FFA8-4F21-A6E7-B317F044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619</Words>
  <Characters>3530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2019-07-12T13:50:00Z</cp:lastPrinted>
  <dcterms:created xsi:type="dcterms:W3CDTF">2014-11-10T09:02:00Z</dcterms:created>
  <dcterms:modified xsi:type="dcterms:W3CDTF">2019-11-08T10:52:00Z</dcterms:modified>
</cp:coreProperties>
</file>