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02AD" w:rsidRDefault="005C02AD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DA2D21" w:rsidRPr="00DC792A" w:rsidRDefault="00DA2D21" w:rsidP="00B97E24">
      <w:pPr>
        <w:spacing w:after="0" w:line="240" w:lineRule="auto"/>
        <w:jc w:val="center"/>
        <w:rPr>
          <w:b/>
          <w:sz w:val="28"/>
          <w:szCs w:val="28"/>
        </w:rPr>
      </w:pPr>
      <w:r w:rsidRPr="00DA2D21">
        <w:rPr>
          <w:b/>
          <w:sz w:val="28"/>
          <w:szCs w:val="28"/>
        </w:rPr>
        <w:t>Разъяснени</w:t>
      </w:r>
      <w:r w:rsidR="009F3A49">
        <w:rPr>
          <w:b/>
          <w:sz w:val="28"/>
          <w:szCs w:val="28"/>
        </w:rPr>
        <w:t>я</w:t>
      </w:r>
      <w:r w:rsidRPr="00DA2D21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положений</w:t>
      </w:r>
      <w:r w:rsidR="000122D6" w:rsidRPr="000122D6">
        <w:rPr>
          <w:b/>
          <w:sz w:val="28"/>
          <w:szCs w:val="28"/>
        </w:rPr>
        <w:t xml:space="preserve"> </w:t>
      </w:r>
      <w:r w:rsidR="005C02AD">
        <w:rPr>
          <w:b/>
          <w:sz w:val="28"/>
          <w:szCs w:val="28"/>
        </w:rPr>
        <w:t>документации</w:t>
      </w:r>
      <w:r w:rsidR="000122D6" w:rsidRPr="0082724A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 xml:space="preserve">об аукционе </w:t>
      </w:r>
      <w:r w:rsidR="003A1D4E">
        <w:rPr>
          <w:b/>
          <w:sz w:val="28"/>
          <w:szCs w:val="28"/>
        </w:rPr>
        <w:t xml:space="preserve">от </w:t>
      </w:r>
      <w:r w:rsidR="000221D5">
        <w:rPr>
          <w:b/>
          <w:sz w:val="28"/>
          <w:szCs w:val="28"/>
        </w:rPr>
        <w:t>26</w:t>
      </w:r>
      <w:r w:rsidR="00FF1EC7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02</w:t>
      </w:r>
      <w:r w:rsidR="00FF1EC7" w:rsidRPr="00FF1EC7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F1EC7">
        <w:rPr>
          <w:b/>
          <w:sz w:val="28"/>
          <w:szCs w:val="28"/>
        </w:rPr>
        <w:t xml:space="preserve"> </w:t>
      </w:r>
      <w:r w:rsidR="00D32C63" w:rsidRPr="0082724A">
        <w:rPr>
          <w:b/>
          <w:sz w:val="28"/>
          <w:szCs w:val="28"/>
        </w:rPr>
        <w:t xml:space="preserve">г. </w:t>
      </w:r>
      <w:r w:rsidR="00900006" w:rsidRPr="0082724A">
        <w:rPr>
          <w:b/>
          <w:sz w:val="28"/>
          <w:szCs w:val="28"/>
        </w:rPr>
        <w:t xml:space="preserve">№ </w:t>
      </w:r>
      <w:r w:rsidR="000221D5">
        <w:rPr>
          <w:b/>
          <w:sz w:val="28"/>
          <w:szCs w:val="28"/>
        </w:rPr>
        <w:t>3</w:t>
      </w:r>
      <w:r w:rsidR="00D32C63" w:rsidRPr="0082724A">
        <w:rPr>
          <w:b/>
          <w:sz w:val="28"/>
          <w:szCs w:val="28"/>
        </w:rPr>
        <w:t xml:space="preserve"> </w:t>
      </w:r>
    </w:p>
    <w:p w:rsidR="00DA2D21" w:rsidRDefault="00D32C63" w:rsidP="00B97E2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r w:rsidR="00534A9D">
        <w:rPr>
          <w:b/>
          <w:sz w:val="28"/>
          <w:szCs w:val="28"/>
        </w:rPr>
        <w:t>И</w:t>
      </w:r>
      <w:r w:rsidR="00DA2D21">
        <w:rPr>
          <w:b/>
          <w:sz w:val="28"/>
          <w:szCs w:val="28"/>
        </w:rPr>
        <w:t xml:space="preserve">звещение </w:t>
      </w:r>
      <w:r w:rsidR="001056D7">
        <w:rPr>
          <w:b/>
          <w:sz w:val="28"/>
          <w:szCs w:val="28"/>
        </w:rPr>
        <w:t>от</w:t>
      </w:r>
      <w:r w:rsidR="001056D7" w:rsidRPr="001056D7">
        <w:rPr>
          <w:b/>
          <w:sz w:val="28"/>
          <w:szCs w:val="28"/>
        </w:rPr>
        <w:t xml:space="preserve"> </w:t>
      </w:r>
      <w:r w:rsidR="003F2642">
        <w:rPr>
          <w:b/>
          <w:sz w:val="28"/>
          <w:szCs w:val="28"/>
        </w:rPr>
        <w:t>0</w:t>
      </w:r>
      <w:r w:rsidR="00617175">
        <w:rPr>
          <w:b/>
          <w:sz w:val="28"/>
          <w:szCs w:val="28"/>
        </w:rPr>
        <w:t>9</w:t>
      </w:r>
      <w:r w:rsidR="00F829AD" w:rsidRPr="00F829AD">
        <w:rPr>
          <w:b/>
          <w:sz w:val="28"/>
          <w:szCs w:val="28"/>
        </w:rPr>
        <w:t>.</w:t>
      </w:r>
      <w:r w:rsidR="003F2642">
        <w:rPr>
          <w:b/>
          <w:sz w:val="28"/>
          <w:szCs w:val="28"/>
        </w:rPr>
        <w:t>02</w:t>
      </w:r>
      <w:r w:rsidR="00F829AD" w:rsidRPr="00F829AD">
        <w:rPr>
          <w:b/>
          <w:sz w:val="28"/>
          <w:szCs w:val="28"/>
        </w:rPr>
        <w:t>.201</w:t>
      </w:r>
      <w:r w:rsidR="003F2642">
        <w:rPr>
          <w:b/>
          <w:sz w:val="28"/>
          <w:szCs w:val="28"/>
        </w:rPr>
        <w:t>5</w:t>
      </w:r>
      <w:r w:rsidR="00F829AD" w:rsidRPr="00F829AD">
        <w:rPr>
          <w:b/>
          <w:sz w:val="28"/>
          <w:szCs w:val="28"/>
        </w:rPr>
        <w:t xml:space="preserve"> </w:t>
      </w:r>
      <w:r w:rsidR="003D0974">
        <w:rPr>
          <w:b/>
          <w:sz w:val="28"/>
          <w:szCs w:val="28"/>
        </w:rPr>
        <w:t xml:space="preserve">г. </w:t>
      </w:r>
      <w:r w:rsidR="00F829AD" w:rsidRPr="00F829AD">
        <w:rPr>
          <w:b/>
          <w:sz w:val="28"/>
          <w:szCs w:val="28"/>
        </w:rPr>
        <w:t>№ О</w:t>
      </w:r>
      <w:r w:rsidR="003F2642">
        <w:rPr>
          <w:b/>
          <w:sz w:val="28"/>
          <w:szCs w:val="28"/>
        </w:rPr>
        <w:t>А</w:t>
      </w:r>
      <w:r w:rsidR="00F829AD" w:rsidRPr="00F829AD">
        <w:rPr>
          <w:b/>
          <w:sz w:val="28"/>
          <w:szCs w:val="28"/>
        </w:rPr>
        <w:t>-Д</w:t>
      </w:r>
      <w:r w:rsidR="00617175">
        <w:rPr>
          <w:b/>
          <w:sz w:val="28"/>
          <w:szCs w:val="28"/>
        </w:rPr>
        <w:t>ИРИ</w:t>
      </w:r>
      <w:r w:rsidR="00F829AD" w:rsidRPr="00F829AD">
        <w:rPr>
          <w:b/>
          <w:sz w:val="28"/>
          <w:szCs w:val="28"/>
        </w:rPr>
        <w:t>-</w:t>
      </w:r>
      <w:r w:rsidR="00921027">
        <w:rPr>
          <w:b/>
          <w:sz w:val="28"/>
          <w:szCs w:val="28"/>
        </w:rPr>
        <w:t>50</w:t>
      </w:r>
      <w:r w:rsidRPr="00D32C63">
        <w:rPr>
          <w:b/>
          <w:sz w:val="28"/>
          <w:szCs w:val="28"/>
        </w:rPr>
        <w:t>)</w:t>
      </w:r>
    </w:p>
    <w:p w:rsidR="000221D5" w:rsidRDefault="000221D5" w:rsidP="00B97E24">
      <w:pPr>
        <w:spacing w:after="0" w:line="240" w:lineRule="auto"/>
        <w:jc w:val="center"/>
        <w:rPr>
          <w:b/>
          <w:sz w:val="28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60"/>
        <w:gridCol w:w="2023"/>
        <w:gridCol w:w="3050"/>
        <w:gridCol w:w="3938"/>
      </w:tblGrid>
      <w:tr w:rsidR="000221D5" w:rsidRPr="000221D5" w:rsidTr="000221D5">
        <w:tc>
          <w:tcPr>
            <w:tcW w:w="560" w:type="dxa"/>
          </w:tcPr>
          <w:p w:rsidR="000221D5" w:rsidRPr="000221D5" w:rsidRDefault="000221D5" w:rsidP="0002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0221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0221D5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2023" w:type="dxa"/>
          </w:tcPr>
          <w:p w:rsidR="000221D5" w:rsidRPr="000221D5" w:rsidRDefault="000221D5" w:rsidP="000221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b/>
                <w:sz w:val="24"/>
                <w:szCs w:val="24"/>
              </w:rPr>
              <w:t>Ссылка на пункт документации</w:t>
            </w:r>
          </w:p>
        </w:tc>
        <w:tc>
          <w:tcPr>
            <w:tcW w:w="3050" w:type="dxa"/>
            <w:vAlign w:val="center"/>
          </w:tcPr>
          <w:p w:rsidR="000221D5" w:rsidRPr="000221D5" w:rsidRDefault="000221D5" w:rsidP="00CA4A1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3938" w:type="dxa"/>
            <w:vAlign w:val="center"/>
          </w:tcPr>
          <w:p w:rsidR="000221D5" w:rsidRPr="000221D5" w:rsidRDefault="000221D5" w:rsidP="00CA4A18">
            <w:pPr>
              <w:spacing w:after="120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b/>
                <w:sz w:val="24"/>
                <w:szCs w:val="24"/>
              </w:rPr>
              <w:t>Разъяснения</w:t>
            </w:r>
          </w:p>
        </w:tc>
      </w:tr>
      <w:tr w:rsidR="000221D5" w:rsidRPr="000221D5" w:rsidTr="000221D5">
        <w:tc>
          <w:tcPr>
            <w:tcW w:w="560" w:type="dxa"/>
          </w:tcPr>
          <w:p w:rsidR="000221D5" w:rsidRPr="000221D5" w:rsidRDefault="000221D5" w:rsidP="0096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23" w:type="dxa"/>
          </w:tcPr>
          <w:p w:rsidR="000221D5" w:rsidRPr="000221D5" w:rsidRDefault="000221D5" w:rsidP="0096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Информационная карта</w:t>
            </w:r>
          </w:p>
        </w:tc>
        <w:tc>
          <w:tcPr>
            <w:tcW w:w="3050" w:type="dxa"/>
          </w:tcPr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Прошу уточнить дату и время вскрытия конвертов с заявками на участие в аукционе.</w:t>
            </w:r>
          </w:p>
        </w:tc>
        <w:tc>
          <w:tcPr>
            <w:tcW w:w="3938" w:type="dxa"/>
          </w:tcPr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Извещением </w:t>
            </w:r>
            <w:r w:rsidRPr="000221D5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 09.02.2015 г. № ОА-ДИРИ-50 о проведении открытого аукциона: 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i/>
                <w:sz w:val="24"/>
                <w:szCs w:val="24"/>
              </w:rPr>
              <w:t>дата и время вскрытия конвертов с заявками на участие в открытом аукционе</w:t>
            </w: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: 17:00 (</w:t>
            </w:r>
            <w:proofErr w:type="spellStart"/>
            <w:proofErr w:type="gramStart"/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мск</w:t>
            </w:r>
            <w:proofErr w:type="spellEnd"/>
            <w:proofErr w:type="gramEnd"/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) 02 марта 2015 года.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дата рассмотрения заявок на участие в открытом аукционе: </w:t>
            </w:r>
            <w:r w:rsidRPr="0002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br/>
            </w: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03 марта 2015 года.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дата и время проведения открытого аукциона: </w:t>
            </w: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 xml:space="preserve">15:30 </w:t>
            </w:r>
            <w:r w:rsidRPr="000221D5">
              <w:rPr>
                <w:rFonts w:ascii="Times New Roman" w:hAnsi="Times New Roman" w:cs="Times New Roman"/>
                <w:iCs/>
                <w:sz w:val="24"/>
                <w:szCs w:val="24"/>
              </w:rPr>
              <w:t>(</w:t>
            </w:r>
            <w:proofErr w:type="spellStart"/>
            <w:proofErr w:type="gramStart"/>
            <w:r w:rsidRPr="000221D5">
              <w:rPr>
                <w:rFonts w:ascii="Times New Roman" w:hAnsi="Times New Roman" w:cs="Times New Roman"/>
                <w:iCs/>
                <w:sz w:val="24"/>
                <w:szCs w:val="24"/>
              </w:rPr>
              <w:t>мск</w:t>
            </w:r>
            <w:proofErr w:type="spellEnd"/>
            <w:proofErr w:type="gramEnd"/>
            <w:r w:rsidRPr="000221D5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05 марта 2015 года.</w:t>
            </w:r>
          </w:p>
        </w:tc>
      </w:tr>
      <w:tr w:rsidR="000221D5" w:rsidRPr="000221D5" w:rsidTr="000221D5">
        <w:tc>
          <w:tcPr>
            <w:tcW w:w="560" w:type="dxa"/>
          </w:tcPr>
          <w:p w:rsidR="000221D5" w:rsidRPr="000221D5" w:rsidRDefault="000221D5" w:rsidP="0096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23" w:type="dxa"/>
          </w:tcPr>
          <w:p w:rsidR="000221D5" w:rsidRPr="000221D5" w:rsidRDefault="000221D5" w:rsidP="0096315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П.3.2 Цена договора</w:t>
            </w:r>
          </w:p>
        </w:tc>
        <w:tc>
          <w:tcPr>
            <w:tcW w:w="3050" w:type="dxa"/>
          </w:tcPr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Согласно Статье 1229 «Исключительное право» Гражданского кодекса РФ: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Правообладатель может по своему усмотрению разрешать или запрещать другим лицам использование результата интеллектуальной деятельности… Документация аукциона (ДА) ограничивает права Подрядчика. Необходимо внести изменения в ДА согласно ГК РФ</w:t>
            </w:r>
            <w:r w:rsidR="0096315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38" w:type="dxa"/>
          </w:tcPr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Согласно пункту 3.2 проекта договора документации об аукционе на право заключения договора на выполнение проектно-изыскательских работ по объекту «Объекты Северного склона поселка Романтик, ВТРК «Архыз»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(далее – Документация об аукционе): «Цена Договора включает в себя вознаграждение Подрядчика за передачу Заказчику исключительных прав на результаты интеллектуальной деятельности, созданные в ходе исполнения настоящего Договора в размере 50</w:t>
            </w:r>
            <w:r w:rsidR="00344E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4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руб. 00 коп. (Пятьдесят тысяч рублей 00 копеек), в том числе НДС 18% - 9</w:t>
            </w:r>
            <w:r w:rsidR="00344E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000</w:t>
            </w:r>
            <w:r w:rsidR="0034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 xml:space="preserve">руб. 00 коп. </w:t>
            </w:r>
            <w:proofErr w:type="gramStart"/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(Девять тысяч рублей 00 копеек)» (по факту 7</w:t>
            </w:r>
            <w:r w:rsidR="00344EA4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627</w:t>
            </w:r>
            <w:r w:rsidR="0034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(Семь тысяч шестьсот двадцать семь) рублей 12 копеек.</w:t>
            </w:r>
            <w:proofErr w:type="gramEnd"/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пункту 1 статьи 1229 Гражданского кодекса Российской Федерации, гражданин или юридическое лицо (далее - Правообладатель), может по своему усмотрению разрешать или запрещать другим лицам использование результата интеллектуальной деятельности, но только в случае обладания </w:t>
            </w:r>
            <w:r w:rsidRPr="0002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исключительным правом на результат интеллектуальной деятельности.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 xml:space="preserve">Рассматриваемый проект договора, по своей структуре является смешанным договором на выполнение проектных и изыскательских работ (статья 758 Гражданского кодекса Российской Федерации) и отчуждение исключительных прав (статья 1234 Гражданского кодекса Российской Федерации). 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В соответствии со статьей 1234 Гражданского кодекса Российской Федерации, по договору об отчуждении исключительного права одна сторона (Правообладатель) передает или обязуется передать принадлежащее ей исключительное право на результат интеллектуальной деятельности в полном объеме другой стороне (Приобретателю).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По договору об отчуждении исключительного права Приобретатель обязуется уплатить Правообладателю предусмотренное договором вознаграждение.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Выплата вознаграждения по договору об отчуждении исключительного права может быть предусмотрена в форме фиксированных разовых или периодических платежей, процентных отчислений от дохода (выручки) либо в иной форме.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Согласно статьям 702 и 703 Гражданского кодекса Российской Федерации, по договору подряда (в том числе по отдельным видам договора подряда - бытовой подряд, строительный подряд, подряд на выполнение проектных и изыскательских работ, подрядные работы для государственных нужд) одна сторона (подрядчик) обязуется выполнить по заданию другой стороны (заказчика) определенную работу и сдать ее результат заказчику, а заказчик обязуется принять результат работы и</w:t>
            </w:r>
            <w:proofErr w:type="gramEnd"/>
            <w:r w:rsidRPr="000221D5">
              <w:rPr>
                <w:rFonts w:ascii="Times New Roman" w:hAnsi="Times New Roman" w:cs="Times New Roman"/>
                <w:sz w:val="24"/>
                <w:szCs w:val="24"/>
              </w:rPr>
              <w:t xml:space="preserve"> оплатить его. Работы, выполняемые по договору подряда, могут включать в себя, в том числе, </w:t>
            </w:r>
            <w:r w:rsidRPr="0002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передачу подрядчиком права на нее заказчику.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На основании вышеизложенного следует, что положение пункта 3.2 проекта договора внесено в соответствии с требованиями Гражданского кодекса Российской Федерации, не ограничивает права подрядчика и не требует внесения изменений в Документацию об аукционе.</w:t>
            </w:r>
          </w:p>
        </w:tc>
      </w:tr>
      <w:tr w:rsidR="000221D5" w:rsidRPr="000221D5" w:rsidTr="000221D5">
        <w:tc>
          <w:tcPr>
            <w:tcW w:w="560" w:type="dxa"/>
          </w:tcPr>
          <w:p w:rsidR="000221D5" w:rsidRPr="000221D5" w:rsidRDefault="000221D5" w:rsidP="0096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23" w:type="dxa"/>
          </w:tcPr>
          <w:p w:rsidR="000221D5" w:rsidRPr="000221D5" w:rsidRDefault="000221D5" w:rsidP="0002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П. 10.5 Переход права собственности на Техническую документацию.</w:t>
            </w:r>
          </w:p>
        </w:tc>
        <w:tc>
          <w:tcPr>
            <w:tcW w:w="3050" w:type="dxa"/>
          </w:tcPr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Согласно статье 758 Гражданского кодекса РФ по</w:t>
            </w:r>
            <w:r w:rsidR="00344E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договору подряда на выполнение проектных и изыскательских работ подрядчик (проектировщик, изыскатель) обязуется по заданию заказчика разработать техническую документацию и (или) выполнить изыскательские работы, а заказчик обязуется принять и оплатить их результат.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Т.е. собственником выполненных работ (технической документации) заказчик станет после того, как оплатит выполненные подрядчиком работы. Подписание акта сдачи-приемки работ говорит только о том, что Подрядчик выполнил свои обязательства перед Заказчиком.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Необходимо внести изменения в ДА согласно ГК РФ.</w:t>
            </w:r>
          </w:p>
        </w:tc>
        <w:tc>
          <w:tcPr>
            <w:tcW w:w="3938" w:type="dxa"/>
          </w:tcPr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 xml:space="preserve">В пункте 10.5. проекта договора речь идет о переходе исключительного права с момента подписания акта сдачи-приемки работ, что не противоречит пункту 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 xml:space="preserve">4 статьи 1234 Гражданского кодекса Российской Федерации и пункту 13.3 совместного Постановления Пленума Верховного Суда РФ N 5, Пленума Высшего Арбитражного Суда РФ N 29 от 26.03.2009 г. «О некоторых вопросах, возникших в связи с введением в действие части четвертой Гражданского кодекса Российской Федерации». 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связи</w:t>
            </w:r>
            <w:proofErr w:type="gramEnd"/>
            <w:r w:rsidRPr="000221D5">
              <w:rPr>
                <w:rFonts w:ascii="Times New Roman" w:hAnsi="Times New Roman" w:cs="Times New Roman"/>
                <w:sz w:val="24"/>
                <w:szCs w:val="24"/>
              </w:rPr>
              <w:t xml:space="preserve"> с чем разъясня</w:t>
            </w:r>
            <w:r w:rsidR="00344EA4">
              <w:rPr>
                <w:rFonts w:ascii="Times New Roman" w:hAnsi="Times New Roman" w:cs="Times New Roman"/>
                <w:sz w:val="24"/>
                <w:szCs w:val="24"/>
              </w:rPr>
              <w:t>ем</w:t>
            </w: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 xml:space="preserve">, что условиями проекта договора предусмотрена передача исключительных прав с момента подписания акта сдачи-приемки работ, а не с момента оплаты вознаграждения за передачу исключительного права. 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В связи, с чем при неполучении в полном размере оплаты вознаграждения, правообладатель (Подрядчик) вправе в судебном порядке осуществить перевод прав и обязанностей, которые содержит договор на Техническую документацию, на себя и возмещение убытков.</w:t>
            </w:r>
          </w:p>
        </w:tc>
      </w:tr>
      <w:tr w:rsidR="000221D5" w:rsidRPr="000221D5" w:rsidTr="000221D5">
        <w:tc>
          <w:tcPr>
            <w:tcW w:w="560" w:type="dxa"/>
          </w:tcPr>
          <w:p w:rsidR="000221D5" w:rsidRPr="000221D5" w:rsidRDefault="000221D5" w:rsidP="0096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3" w:type="dxa"/>
          </w:tcPr>
          <w:p w:rsidR="000221D5" w:rsidRPr="000221D5" w:rsidRDefault="000221D5" w:rsidP="0002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П. 10.6 Передача исключительных прав на Техническую документацию</w:t>
            </w:r>
          </w:p>
        </w:tc>
        <w:tc>
          <w:tcPr>
            <w:tcW w:w="3050" w:type="dxa"/>
          </w:tcPr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 на техническую документацию и исключительные права на </w:t>
            </w:r>
            <w:proofErr w:type="gramStart"/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архитектурный проект</w:t>
            </w:r>
            <w:proofErr w:type="gramEnd"/>
            <w:r w:rsidRPr="000221D5">
              <w:rPr>
                <w:rFonts w:ascii="Times New Roman" w:hAnsi="Times New Roman" w:cs="Times New Roman"/>
                <w:sz w:val="24"/>
                <w:szCs w:val="24"/>
              </w:rPr>
              <w:t xml:space="preserve"> - это не одно и то же.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 xml:space="preserve">Исключительное право принадлежит автору и может передаваться только в порядке отчуждения. В соответствии со статьей </w:t>
            </w:r>
            <w:r w:rsidRPr="0002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1294 ГК РФ автор произведения архитектуры имеет право использовать свое произведение путем продажи или иного отчуждения оригинала или его экземпляров, в том числе путем разработки документации для строительства и путем реализации архитектурного, градостроительного или садово-паркового проекта. Необходимо внести изменения в ДА согласно ГК РФ.</w:t>
            </w:r>
          </w:p>
        </w:tc>
        <w:tc>
          <w:tcPr>
            <w:tcW w:w="3938" w:type="dxa"/>
          </w:tcPr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пункте 10.6. проекта договора предусмотрена передача в полном объеме исключительных прав на Техническую документацию, что не противоречит пункту 1 статьи 1234 Гражданского кодекса Российской Федерации, так как исключительное право является отчуждаемым имущественным правом.</w:t>
            </w:r>
          </w:p>
        </w:tc>
      </w:tr>
      <w:tr w:rsidR="000221D5" w:rsidRPr="000221D5" w:rsidTr="000221D5">
        <w:tc>
          <w:tcPr>
            <w:tcW w:w="560" w:type="dxa"/>
          </w:tcPr>
          <w:p w:rsidR="000221D5" w:rsidRPr="000221D5" w:rsidRDefault="000221D5" w:rsidP="0096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2023" w:type="dxa"/>
          </w:tcPr>
          <w:p w:rsidR="000221D5" w:rsidRPr="000221D5" w:rsidRDefault="000221D5" w:rsidP="0002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П. 12 Исходные данные</w:t>
            </w:r>
          </w:p>
        </w:tc>
        <w:tc>
          <w:tcPr>
            <w:tcW w:w="3050" w:type="dxa"/>
          </w:tcPr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6 статьи 48 Градостроительного Кодекса</w:t>
            </w:r>
            <w:r w:rsidR="00CA23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РФ перед началом проектирования Заказчик обязан передать Исполнителю: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1) градостроительный план земельного участка или в случае подготовки проектной документации линейного объекта проект планировки территории и проект межевания территории (пункт дополнен с 25 марта 2011 года Федеральным законом от 20 марта 2011 года N 41-ФЗ);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2) результаты инженерных изысканий (в случае, если они отсутствуют, договором должно быть предусмотрено задание на выполнение инженерных изысканий);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 xml:space="preserve">3) технические условия (в случае, если функционирование проектируемого объекта капитального строительства невозможно обеспечить без подключения (технологического присоединения) такого объекта к сетям инженерно-технического </w:t>
            </w:r>
            <w:r w:rsidRPr="0002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обеспечения).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(Пункт в редакции, введенной в действие с 31 декабря 2012 года Федеральным законом от 30 декабря 2012 года № 318-ФЗ.</w:t>
            </w:r>
            <w:proofErr w:type="gramEnd"/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Необходимо внести изменения в ДА согласно ГК РФ</w:t>
            </w:r>
          </w:p>
        </w:tc>
        <w:tc>
          <w:tcPr>
            <w:tcW w:w="3938" w:type="dxa"/>
          </w:tcPr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Исчерпывающий перечень </w:t>
            </w:r>
            <w:proofErr w:type="gramStart"/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исходных данных, передаваемых Заказчиком Подрядчику изложен</w:t>
            </w:r>
            <w:proofErr w:type="gramEnd"/>
            <w:r w:rsidRPr="000221D5">
              <w:rPr>
                <w:rFonts w:ascii="Times New Roman" w:hAnsi="Times New Roman" w:cs="Times New Roman"/>
                <w:sz w:val="24"/>
                <w:szCs w:val="24"/>
              </w:rPr>
              <w:t xml:space="preserve"> в п. 12 Задания на проектирование (Приложение № 1 к Договору).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В случае необходимости Подрядчик самостоятельно обеспечивает сбор и уточнение необходимых дополнительных исходных данных. Затраты на сбор и уточнение исходных данных учтены в стоимости Договора, сроки входят в сроки выполнения работ.</w:t>
            </w:r>
          </w:p>
        </w:tc>
      </w:tr>
      <w:tr w:rsidR="000221D5" w:rsidRPr="000221D5" w:rsidTr="000221D5">
        <w:tc>
          <w:tcPr>
            <w:tcW w:w="560" w:type="dxa"/>
          </w:tcPr>
          <w:p w:rsidR="000221D5" w:rsidRPr="000221D5" w:rsidRDefault="000221D5" w:rsidP="0096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2023" w:type="dxa"/>
          </w:tcPr>
          <w:p w:rsidR="000221D5" w:rsidRPr="000221D5" w:rsidRDefault="000221D5" w:rsidP="0002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П.40 Порядок сдачи работ</w:t>
            </w:r>
          </w:p>
        </w:tc>
        <w:tc>
          <w:tcPr>
            <w:tcW w:w="3050" w:type="dxa"/>
          </w:tcPr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Разъясните, сколько экземпляров Проектной документации и сколько экземпляров результатов инженерных изысканий передать Заказчику в бумажном виде и на электронном носителе.</w:t>
            </w:r>
          </w:p>
        </w:tc>
        <w:tc>
          <w:tcPr>
            <w:tcW w:w="3938" w:type="dxa"/>
          </w:tcPr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4 экземпляра на бумажном носителе (в том числе 1 экземпляр – подлинник) и 3 экземпляра на электронном носителе. 4 экземпляра Заключения Органа государственной экспертизы представляется в подлиннике.</w:t>
            </w:r>
          </w:p>
        </w:tc>
      </w:tr>
      <w:tr w:rsidR="000221D5" w:rsidRPr="000221D5" w:rsidTr="000221D5">
        <w:tc>
          <w:tcPr>
            <w:tcW w:w="560" w:type="dxa"/>
          </w:tcPr>
          <w:p w:rsidR="000221D5" w:rsidRPr="000221D5" w:rsidRDefault="000221D5" w:rsidP="009631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023" w:type="dxa"/>
          </w:tcPr>
          <w:p w:rsidR="000221D5" w:rsidRPr="000221D5" w:rsidRDefault="000221D5" w:rsidP="000221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Календарный план выполнения Проектно-изыскательских работ</w:t>
            </w:r>
          </w:p>
        </w:tc>
        <w:tc>
          <w:tcPr>
            <w:tcW w:w="3050" w:type="dxa"/>
          </w:tcPr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В соответствии с пунктом 7 статьи 49 Градостроительного Кодекса</w:t>
            </w:r>
          </w:p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РФ: Срок проведения государственной экспертизы определяется сложностью объекта капитального строительства, но не должен превышать шестьдесят дней. Документация аукциона (ДА) ограничивает права Подрядчика. Необходимо внести изменения в ДА согласно ГК РФ</w:t>
            </w:r>
          </w:p>
        </w:tc>
        <w:tc>
          <w:tcPr>
            <w:tcW w:w="3938" w:type="dxa"/>
          </w:tcPr>
          <w:p w:rsidR="000221D5" w:rsidRPr="000221D5" w:rsidRDefault="000221D5" w:rsidP="001C31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221D5">
              <w:rPr>
                <w:rFonts w:ascii="Times New Roman" w:hAnsi="Times New Roman" w:cs="Times New Roman"/>
                <w:sz w:val="24"/>
                <w:szCs w:val="24"/>
              </w:rPr>
              <w:t>Условиями Договора (Приложение № 3) определен конечный срок предоставления результатов работ. При этом Заказчик не ограничивает Подрядчика в продолжительности проведения того или иного этапа работ. В соответствии с Приложением №3 к Договору Подрядчик может проходить государственную экспертизу и за 30 и за 45 и за 60 дней, однако срок получения положительного заключения государственной экспертизы должен быть не позднее даты, установленной в Приложении № 3 к Договору. Таким образом, данное требование Договора не противоречит ГК РФ.</w:t>
            </w:r>
          </w:p>
        </w:tc>
      </w:tr>
    </w:tbl>
    <w:p w:rsidR="000221D5" w:rsidRDefault="000221D5" w:rsidP="00B97E24">
      <w:pPr>
        <w:spacing w:after="0" w:line="240" w:lineRule="auto"/>
        <w:jc w:val="center"/>
        <w:rPr>
          <w:b/>
          <w:sz w:val="28"/>
          <w:szCs w:val="28"/>
        </w:rPr>
      </w:pPr>
    </w:p>
    <w:p w:rsidR="0019396C" w:rsidRPr="0082724A" w:rsidRDefault="0019396C" w:rsidP="0019396C">
      <w:pPr>
        <w:spacing w:after="0" w:line="240" w:lineRule="auto"/>
        <w:rPr>
          <w:sz w:val="28"/>
          <w:szCs w:val="28"/>
        </w:rPr>
      </w:pPr>
    </w:p>
    <w:sectPr w:rsidR="0019396C" w:rsidRPr="0082724A" w:rsidSect="005C02AD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9A5E09"/>
    <w:multiLevelType w:val="hybridMultilevel"/>
    <w:tmpl w:val="1812D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F0C40"/>
    <w:multiLevelType w:val="hybridMultilevel"/>
    <w:tmpl w:val="24E49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8614C2"/>
    <w:multiLevelType w:val="hybridMultilevel"/>
    <w:tmpl w:val="07941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3306A7"/>
    <w:multiLevelType w:val="hybridMultilevel"/>
    <w:tmpl w:val="A7E81444"/>
    <w:lvl w:ilvl="0" w:tplc="522822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7C675F83"/>
    <w:multiLevelType w:val="hybridMultilevel"/>
    <w:tmpl w:val="5DEEDC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819"/>
    <w:rsid w:val="000122D6"/>
    <w:rsid w:val="000221D5"/>
    <w:rsid w:val="0007631E"/>
    <w:rsid w:val="00100BBA"/>
    <w:rsid w:val="001056D7"/>
    <w:rsid w:val="001469C6"/>
    <w:rsid w:val="00155BEB"/>
    <w:rsid w:val="00160790"/>
    <w:rsid w:val="0019396C"/>
    <w:rsid w:val="001B689D"/>
    <w:rsid w:val="001C3164"/>
    <w:rsid w:val="002176AE"/>
    <w:rsid w:val="00280A92"/>
    <w:rsid w:val="00287C9F"/>
    <w:rsid w:val="00295061"/>
    <w:rsid w:val="00297BBD"/>
    <w:rsid w:val="002B1050"/>
    <w:rsid w:val="002B5819"/>
    <w:rsid w:val="00344EA4"/>
    <w:rsid w:val="00352054"/>
    <w:rsid w:val="003647CC"/>
    <w:rsid w:val="00387E1F"/>
    <w:rsid w:val="0039541E"/>
    <w:rsid w:val="003A1D4E"/>
    <w:rsid w:val="003C507F"/>
    <w:rsid w:val="003C79D9"/>
    <w:rsid w:val="003D0279"/>
    <w:rsid w:val="003D0974"/>
    <w:rsid w:val="003F2156"/>
    <w:rsid w:val="003F2642"/>
    <w:rsid w:val="00433ACC"/>
    <w:rsid w:val="00453C1E"/>
    <w:rsid w:val="004752B8"/>
    <w:rsid w:val="004D4360"/>
    <w:rsid w:val="005324FE"/>
    <w:rsid w:val="00534A9D"/>
    <w:rsid w:val="005B6C5F"/>
    <w:rsid w:val="005C02AD"/>
    <w:rsid w:val="005E5B96"/>
    <w:rsid w:val="00617175"/>
    <w:rsid w:val="006B279F"/>
    <w:rsid w:val="006C3A52"/>
    <w:rsid w:val="007574D9"/>
    <w:rsid w:val="00782F54"/>
    <w:rsid w:val="007D19BC"/>
    <w:rsid w:val="007E027E"/>
    <w:rsid w:val="0082724A"/>
    <w:rsid w:val="00856CA4"/>
    <w:rsid w:val="008B19C1"/>
    <w:rsid w:val="008E7754"/>
    <w:rsid w:val="00900006"/>
    <w:rsid w:val="00921027"/>
    <w:rsid w:val="00963150"/>
    <w:rsid w:val="00987B40"/>
    <w:rsid w:val="009C146A"/>
    <w:rsid w:val="009C4CDF"/>
    <w:rsid w:val="009D53C1"/>
    <w:rsid w:val="009E1A21"/>
    <w:rsid w:val="009F3A49"/>
    <w:rsid w:val="00A1445B"/>
    <w:rsid w:val="00A40ED4"/>
    <w:rsid w:val="00A463D6"/>
    <w:rsid w:val="00AA5475"/>
    <w:rsid w:val="00AB698C"/>
    <w:rsid w:val="00AE6BCA"/>
    <w:rsid w:val="00AF2DBC"/>
    <w:rsid w:val="00B47BB1"/>
    <w:rsid w:val="00B97E24"/>
    <w:rsid w:val="00BC7911"/>
    <w:rsid w:val="00C133E4"/>
    <w:rsid w:val="00C475E0"/>
    <w:rsid w:val="00C97C96"/>
    <w:rsid w:val="00CA23F5"/>
    <w:rsid w:val="00D05A94"/>
    <w:rsid w:val="00D23003"/>
    <w:rsid w:val="00D32C63"/>
    <w:rsid w:val="00D3681D"/>
    <w:rsid w:val="00DA2D21"/>
    <w:rsid w:val="00DC792A"/>
    <w:rsid w:val="00DE0830"/>
    <w:rsid w:val="00DE408D"/>
    <w:rsid w:val="00DE7445"/>
    <w:rsid w:val="00E13057"/>
    <w:rsid w:val="00E155AD"/>
    <w:rsid w:val="00E21B77"/>
    <w:rsid w:val="00E459F9"/>
    <w:rsid w:val="00E56FBD"/>
    <w:rsid w:val="00EA71FA"/>
    <w:rsid w:val="00ED3EAF"/>
    <w:rsid w:val="00F66369"/>
    <w:rsid w:val="00F764EF"/>
    <w:rsid w:val="00F829AD"/>
    <w:rsid w:val="00FF1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221D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02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0279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433ACC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433ACC"/>
    <w:rPr>
      <w:color w:val="800080"/>
      <w:u w:val="single"/>
    </w:rPr>
  </w:style>
  <w:style w:type="paragraph" w:customStyle="1" w:styleId="xl63">
    <w:name w:val="xl63"/>
    <w:basedOn w:val="a"/>
    <w:rsid w:val="00433ACC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xl64">
    <w:name w:val="xl64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jc w:val="right"/>
      <w:textAlignment w:val="top"/>
    </w:pPr>
    <w:rPr>
      <w:rFonts w:eastAsia="Times New Roman"/>
      <w:szCs w:val="24"/>
      <w:lang w:eastAsia="ru-RU"/>
    </w:rPr>
  </w:style>
  <w:style w:type="paragraph" w:customStyle="1" w:styleId="xl65">
    <w:name w:val="xl65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pacing w:before="100" w:beforeAutospacing="1" w:after="100" w:afterAutospacing="1" w:line="240" w:lineRule="auto"/>
      <w:textAlignment w:val="top"/>
    </w:pPr>
    <w:rPr>
      <w:rFonts w:eastAsia="Times New Roman"/>
      <w:szCs w:val="24"/>
      <w:lang w:eastAsia="ru-RU"/>
    </w:rPr>
  </w:style>
  <w:style w:type="paragraph" w:customStyle="1" w:styleId="xl66">
    <w:name w:val="xl66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7">
    <w:name w:val="xl67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textAlignment w:val="top"/>
    </w:pPr>
    <w:rPr>
      <w:rFonts w:eastAsia="Times New Roman"/>
      <w:sz w:val="20"/>
      <w:szCs w:val="20"/>
      <w:lang w:eastAsia="ru-RU"/>
    </w:rPr>
  </w:style>
  <w:style w:type="paragraph" w:customStyle="1" w:styleId="xl68">
    <w:name w:val="xl68"/>
    <w:basedOn w:val="a"/>
    <w:rsid w:val="00433ACC"/>
    <w:pPr>
      <w:pBdr>
        <w:top w:val="single" w:sz="4" w:space="0" w:color="CCC085"/>
        <w:left w:val="single" w:sz="4" w:space="0" w:color="CCC085"/>
        <w:bottom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69">
    <w:name w:val="xl69"/>
    <w:basedOn w:val="a"/>
    <w:rsid w:val="00433ACC"/>
    <w:pPr>
      <w:pBdr>
        <w:top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0">
    <w:name w:val="xl70"/>
    <w:basedOn w:val="a"/>
    <w:rsid w:val="00433ACC"/>
    <w:pPr>
      <w:pBdr>
        <w:top w:val="single" w:sz="4" w:space="0" w:color="CCC085"/>
        <w:left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customStyle="1" w:styleId="xl71">
    <w:name w:val="xl71"/>
    <w:basedOn w:val="a"/>
    <w:rsid w:val="00433ACC"/>
    <w:pPr>
      <w:pBdr>
        <w:left w:val="single" w:sz="4" w:space="0" w:color="CCC085"/>
        <w:bottom w:val="single" w:sz="4" w:space="0" w:color="CCC085"/>
        <w:right w:val="single" w:sz="4" w:space="0" w:color="CCC085"/>
      </w:pBdr>
      <w:shd w:val="clear" w:color="000000" w:fill="F4ECC5"/>
      <w:spacing w:before="100" w:beforeAutospacing="1" w:after="100" w:afterAutospacing="1" w:line="240" w:lineRule="auto"/>
      <w:jc w:val="center"/>
      <w:textAlignment w:val="center"/>
    </w:pPr>
    <w:rPr>
      <w:rFonts w:eastAsia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55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BEB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3"/>
    <w:uiPriority w:val="59"/>
    <w:rsid w:val="000221D5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5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33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2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7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4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1334</Words>
  <Characters>7608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NCRC User</dc:creator>
  <cp:lastModifiedBy>Токарев Игорь Александрович</cp:lastModifiedBy>
  <cp:revision>21</cp:revision>
  <cp:lastPrinted>2015-02-24T07:44:00Z</cp:lastPrinted>
  <dcterms:created xsi:type="dcterms:W3CDTF">2014-06-02T13:30:00Z</dcterms:created>
  <dcterms:modified xsi:type="dcterms:W3CDTF">2015-02-26T15:02:00Z</dcterms:modified>
</cp:coreProperties>
</file>