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F47232" w:rsidRDefault="00DA2D21" w:rsidP="00B97E24">
      <w:pPr>
        <w:spacing w:after="0" w:line="240" w:lineRule="auto"/>
        <w:jc w:val="center"/>
        <w:rPr>
          <w:b/>
          <w:szCs w:val="24"/>
        </w:rPr>
      </w:pPr>
      <w:r w:rsidRPr="00F47232">
        <w:rPr>
          <w:b/>
          <w:szCs w:val="24"/>
        </w:rPr>
        <w:t>Разъяснени</w:t>
      </w:r>
      <w:r w:rsidR="009F3A49" w:rsidRPr="00F47232">
        <w:rPr>
          <w:b/>
          <w:szCs w:val="24"/>
        </w:rPr>
        <w:t>я</w:t>
      </w:r>
      <w:r w:rsidRPr="00F47232">
        <w:rPr>
          <w:b/>
          <w:szCs w:val="24"/>
        </w:rPr>
        <w:t xml:space="preserve"> </w:t>
      </w:r>
      <w:r w:rsidR="005C02AD" w:rsidRPr="00F47232">
        <w:rPr>
          <w:b/>
          <w:szCs w:val="24"/>
        </w:rPr>
        <w:t>положений</w:t>
      </w:r>
      <w:r w:rsidR="000122D6" w:rsidRPr="00F47232">
        <w:rPr>
          <w:b/>
          <w:szCs w:val="24"/>
        </w:rPr>
        <w:t xml:space="preserve"> </w:t>
      </w:r>
      <w:r w:rsidR="005C02AD" w:rsidRPr="00F47232">
        <w:rPr>
          <w:b/>
          <w:szCs w:val="24"/>
        </w:rPr>
        <w:t>конкурсной документации</w:t>
      </w:r>
      <w:r w:rsidR="000122D6" w:rsidRPr="00F47232">
        <w:rPr>
          <w:b/>
          <w:szCs w:val="24"/>
        </w:rPr>
        <w:t xml:space="preserve"> </w:t>
      </w:r>
      <w:r w:rsidR="003A1D4E" w:rsidRPr="00F47232">
        <w:rPr>
          <w:b/>
          <w:szCs w:val="24"/>
        </w:rPr>
        <w:t xml:space="preserve">от </w:t>
      </w:r>
      <w:r w:rsidR="00C110E6">
        <w:rPr>
          <w:b/>
          <w:szCs w:val="24"/>
        </w:rPr>
        <w:t>0</w:t>
      </w:r>
      <w:r w:rsidR="007A1662">
        <w:rPr>
          <w:b/>
          <w:szCs w:val="24"/>
        </w:rPr>
        <w:t>9</w:t>
      </w:r>
      <w:r w:rsidR="00FF1EC7" w:rsidRPr="00F47232">
        <w:rPr>
          <w:b/>
          <w:szCs w:val="24"/>
        </w:rPr>
        <w:t>.</w:t>
      </w:r>
      <w:r w:rsidR="0044358C" w:rsidRPr="00F47232">
        <w:rPr>
          <w:b/>
          <w:szCs w:val="24"/>
        </w:rPr>
        <w:t>0</w:t>
      </w:r>
      <w:r w:rsidR="00C110E6">
        <w:rPr>
          <w:b/>
          <w:szCs w:val="24"/>
        </w:rPr>
        <w:t>2</w:t>
      </w:r>
      <w:r w:rsidR="00FF1EC7" w:rsidRPr="00F47232">
        <w:rPr>
          <w:b/>
          <w:szCs w:val="24"/>
        </w:rPr>
        <w:t>.201</w:t>
      </w:r>
      <w:r w:rsidR="0044358C" w:rsidRPr="00F47232">
        <w:rPr>
          <w:b/>
          <w:szCs w:val="24"/>
        </w:rPr>
        <w:t>5</w:t>
      </w:r>
      <w:r w:rsidR="00FF1EC7" w:rsidRPr="00F47232">
        <w:rPr>
          <w:b/>
          <w:szCs w:val="24"/>
        </w:rPr>
        <w:t xml:space="preserve"> </w:t>
      </w:r>
      <w:r w:rsidR="00D32C63" w:rsidRPr="00F47232">
        <w:rPr>
          <w:b/>
          <w:szCs w:val="24"/>
        </w:rPr>
        <w:t xml:space="preserve">г. </w:t>
      </w:r>
      <w:r w:rsidR="00900006" w:rsidRPr="00F47232">
        <w:rPr>
          <w:b/>
          <w:szCs w:val="24"/>
        </w:rPr>
        <w:t xml:space="preserve">№ </w:t>
      </w:r>
      <w:r w:rsidR="007A1662">
        <w:rPr>
          <w:b/>
          <w:szCs w:val="24"/>
        </w:rPr>
        <w:t>4</w:t>
      </w:r>
      <w:r w:rsidR="00D32C63" w:rsidRPr="00F47232">
        <w:rPr>
          <w:b/>
          <w:szCs w:val="24"/>
        </w:rPr>
        <w:t xml:space="preserve"> </w:t>
      </w:r>
    </w:p>
    <w:p w:rsidR="00DA2D21" w:rsidRPr="00F47232" w:rsidRDefault="00D32C63" w:rsidP="00B97E24">
      <w:pPr>
        <w:spacing w:after="0" w:line="240" w:lineRule="auto"/>
        <w:jc w:val="center"/>
        <w:rPr>
          <w:b/>
          <w:szCs w:val="24"/>
        </w:rPr>
      </w:pPr>
      <w:r w:rsidRPr="00F47232">
        <w:rPr>
          <w:b/>
          <w:szCs w:val="24"/>
        </w:rPr>
        <w:t>(</w:t>
      </w:r>
      <w:r w:rsidR="00534A9D" w:rsidRPr="00F47232">
        <w:rPr>
          <w:b/>
          <w:szCs w:val="24"/>
        </w:rPr>
        <w:t>И</w:t>
      </w:r>
      <w:r w:rsidR="00DA2D21" w:rsidRPr="00F47232">
        <w:rPr>
          <w:b/>
          <w:szCs w:val="24"/>
        </w:rPr>
        <w:t xml:space="preserve">звещение </w:t>
      </w:r>
      <w:r w:rsidR="0044358C" w:rsidRPr="00F47232">
        <w:rPr>
          <w:b/>
          <w:szCs w:val="24"/>
        </w:rPr>
        <w:t>от 21.01.2015 № ОК-ДИРИ-55</w:t>
      </w:r>
      <w:r w:rsidRPr="00F47232">
        <w:rPr>
          <w:b/>
          <w:szCs w:val="24"/>
        </w:rPr>
        <w:t>)</w:t>
      </w:r>
    </w:p>
    <w:p w:rsidR="00900006" w:rsidRPr="00F47232" w:rsidRDefault="00900006" w:rsidP="00B97E24">
      <w:pPr>
        <w:spacing w:after="0" w:line="240" w:lineRule="auto"/>
        <w:jc w:val="center"/>
        <w:rPr>
          <w:b/>
          <w:szCs w:val="24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F47232" w:rsidTr="007A1662">
        <w:trPr>
          <w:trHeight w:val="585"/>
        </w:trPr>
        <w:tc>
          <w:tcPr>
            <w:tcW w:w="851" w:type="dxa"/>
            <w:shd w:val="clear" w:color="auto" w:fill="auto"/>
            <w:vAlign w:val="center"/>
          </w:tcPr>
          <w:p w:rsidR="00900006" w:rsidRPr="00F4723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 xml:space="preserve">№ </w:t>
            </w:r>
            <w:r w:rsid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br/>
            </w:r>
            <w:proofErr w:type="gramStart"/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п</w:t>
            </w:r>
            <w:proofErr w:type="gramEnd"/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F4723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szCs w:val="24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F47232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Разъяснения</w:t>
            </w:r>
          </w:p>
        </w:tc>
      </w:tr>
      <w:tr w:rsidR="002176AE" w:rsidRPr="00F47232" w:rsidTr="007A1662">
        <w:trPr>
          <w:trHeight w:val="2258"/>
        </w:trPr>
        <w:tc>
          <w:tcPr>
            <w:tcW w:w="851" w:type="dxa"/>
            <w:shd w:val="clear" w:color="auto" w:fill="auto"/>
            <w:vAlign w:val="center"/>
          </w:tcPr>
          <w:p w:rsidR="002176AE" w:rsidRPr="00F47232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47232" w:rsidRPr="00F47232" w:rsidRDefault="007A1662" w:rsidP="007A1662">
            <w:pPr>
              <w:jc w:val="both"/>
              <w:rPr>
                <w:szCs w:val="24"/>
              </w:rPr>
            </w:pPr>
            <w:proofErr w:type="gramStart"/>
            <w:r w:rsidRPr="007A1662">
              <w:rPr>
                <w:szCs w:val="24"/>
              </w:rPr>
              <w:t xml:space="preserve">Просим разъяснить возникающее противоречие в требованиях, при которых границы территории проекта находятся в рамках части </w:t>
            </w:r>
            <w:proofErr w:type="spellStart"/>
            <w:r w:rsidRPr="007A1662">
              <w:rPr>
                <w:szCs w:val="24"/>
              </w:rPr>
              <w:t>Джейрахского</w:t>
            </w:r>
            <w:proofErr w:type="spellEnd"/>
            <w:r w:rsidRPr="007A1662">
              <w:rPr>
                <w:szCs w:val="24"/>
              </w:rPr>
              <w:t xml:space="preserve"> муниципального района, тогда как требования к графическим материалам проектах устанавливают необходимость выполнения таких материалов в указанных масштабах «на канатные дороги, горнолыжные трассы и иные объекты вне курортных деревень на территориях </w:t>
            </w:r>
            <w:proofErr w:type="spellStart"/>
            <w:r w:rsidRPr="007A1662">
              <w:rPr>
                <w:szCs w:val="24"/>
              </w:rPr>
              <w:t>Джейрахского</w:t>
            </w:r>
            <w:proofErr w:type="spellEnd"/>
            <w:r w:rsidRPr="007A1662">
              <w:rPr>
                <w:szCs w:val="24"/>
              </w:rPr>
              <w:t xml:space="preserve"> и Сунженского муниципальных районов»?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7A1662" w:rsidRPr="007A1662" w:rsidRDefault="007A1662" w:rsidP="007A166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7A1662">
              <w:rPr>
                <w:rFonts w:eastAsia="Calibri"/>
                <w:szCs w:val="24"/>
              </w:rPr>
              <w:t xml:space="preserve">Противоречия в требованиях нет. Подрядчик сам определяет размещение канатных дорог, горнолыжных трасс и иных объектов вне курортных деревень, </w:t>
            </w:r>
          </w:p>
          <w:p w:rsidR="007A1662" w:rsidRPr="007A1662" w:rsidRDefault="007A1662" w:rsidP="007A166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7A1662">
              <w:rPr>
                <w:rFonts w:eastAsia="Calibri"/>
                <w:szCs w:val="24"/>
              </w:rPr>
              <w:t xml:space="preserve">а так же необходимые и достаточные изыскания для их размещения </w:t>
            </w:r>
          </w:p>
          <w:p w:rsidR="007A1662" w:rsidRPr="007A1662" w:rsidRDefault="007A1662" w:rsidP="007A166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7A1662">
              <w:rPr>
                <w:rFonts w:eastAsia="Calibri"/>
                <w:szCs w:val="24"/>
              </w:rPr>
              <w:t xml:space="preserve">на территории туристско-рекреационной особой экономической зоны </w:t>
            </w:r>
          </w:p>
          <w:p w:rsidR="007A1662" w:rsidRPr="007A1662" w:rsidRDefault="007A1662" w:rsidP="007A166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7A1662">
              <w:rPr>
                <w:rFonts w:eastAsia="Calibri"/>
                <w:szCs w:val="24"/>
              </w:rPr>
              <w:t xml:space="preserve">на территории </w:t>
            </w:r>
            <w:proofErr w:type="spellStart"/>
            <w:r w:rsidRPr="007A1662">
              <w:rPr>
                <w:rFonts w:eastAsia="Calibri"/>
                <w:szCs w:val="24"/>
              </w:rPr>
              <w:t>Джейрахского</w:t>
            </w:r>
            <w:proofErr w:type="spellEnd"/>
            <w:r w:rsidRPr="007A1662">
              <w:rPr>
                <w:rFonts w:eastAsia="Calibri"/>
                <w:szCs w:val="24"/>
              </w:rPr>
              <w:t xml:space="preserve"> муниципального района и прилегающей </w:t>
            </w:r>
          </w:p>
          <w:p w:rsidR="00387E1F" w:rsidRPr="00F47232" w:rsidRDefault="007A1662" w:rsidP="007A166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7A1662">
              <w:rPr>
                <w:rFonts w:eastAsia="Calibri"/>
                <w:szCs w:val="24"/>
              </w:rPr>
              <w:t>к ней территории, при условии твердой цены на инженерные изыскания.</w:t>
            </w:r>
          </w:p>
        </w:tc>
      </w:tr>
      <w:tr w:rsidR="00F47232" w:rsidRPr="00F47232" w:rsidTr="007A1662">
        <w:trPr>
          <w:trHeight w:val="2258"/>
        </w:trPr>
        <w:tc>
          <w:tcPr>
            <w:tcW w:w="851" w:type="dxa"/>
            <w:shd w:val="clear" w:color="auto" w:fill="auto"/>
            <w:vAlign w:val="center"/>
          </w:tcPr>
          <w:p w:rsidR="00F47232" w:rsidRPr="00F47232" w:rsidRDefault="00F47232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F47232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47232" w:rsidRPr="00F47232" w:rsidRDefault="007A1662" w:rsidP="007A1662">
            <w:pPr>
              <w:jc w:val="both"/>
              <w:rPr>
                <w:bCs/>
                <w:szCs w:val="24"/>
              </w:rPr>
            </w:pPr>
            <w:proofErr w:type="gramStart"/>
            <w:r w:rsidRPr="007A1662">
              <w:rPr>
                <w:bCs/>
                <w:szCs w:val="24"/>
              </w:rPr>
              <w:t xml:space="preserve">Правильно ли мы понимаем, что любые работы по изысканиям, работы по подготовке планово-высотной геодезической сети, работы по выполнению цифровых моделей местности (ИЦММ) выполняются только в границе территории проекта, представляющего собой совокупность внешних границ земельных участков, включенных в туристско-рекреационную особую экономическую зону в рамках части </w:t>
            </w:r>
            <w:proofErr w:type="spellStart"/>
            <w:r w:rsidRPr="007A1662">
              <w:rPr>
                <w:bCs/>
                <w:szCs w:val="24"/>
              </w:rPr>
              <w:t>Джейрахского</w:t>
            </w:r>
            <w:proofErr w:type="spellEnd"/>
            <w:r w:rsidRPr="007A1662">
              <w:rPr>
                <w:bCs/>
                <w:szCs w:val="24"/>
              </w:rPr>
              <w:t xml:space="preserve"> муниципального района - ВТРК «</w:t>
            </w:r>
            <w:proofErr w:type="spellStart"/>
            <w:r w:rsidRPr="007A1662">
              <w:rPr>
                <w:bCs/>
                <w:szCs w:val="24"/>
              </w:rPr>
              <w:t>Армхи</w:t>
            </w:r>
            <w:proofErr w:type="spellEnd"/>
            <w:r w:rsidRPr="007A1662">
              <w:rPr>
                <w:bCs/>
                <w:szCs w:val="24"/>
              </w:rPr>
              <w:t>», площадью 2031 га.?</w:t>
            </w:r>
            <w:proofErr w:type="gramEnd"/>
          </w:p>
        </w:tc>
        <w:tc>
          <w:tcPr>
            <w:tcW w:w="4537" w:type="dxa"/>
            <w:shd w:val="clear" w:color="auto" w:fill="auto"/>
          </w:tcPr>
          <w:p w:rsidR="007A1662" w:rsidRPr="007A1662" w:rsidRDefault="007A1662" w:rsidP="007A166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A1662">
              <w:rPr>
                <w:rFonts w:eastAsia="Calibri"/>
                <w:color w:val="000000" w:themeColor="text1"/>
                <w:szCs w:val="24"/>
              </w:rPr>
              <w:t xml:space="preserve">Если есть необходимость, подрядчик выполняет инженерные изыскания, </w:t>
            </w:r>
          </w:p>
          <w:p w:rsidR="00F47232" w:rsidRPr="00F47232" w:rsidRDefault="007A1662" w:rsidP="007A1662">
            <w:pPr>
              <w:spacing w:after="0" w:line="240" w:lineRule="auto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7A1662">
              <w:rPr>
                <w:rFonts w:eastAsia="Calibri"/>
                <w:color w:val="000000" w:themeColor="text1"/>
                <w:szCs w:val="24"/>
              </w:rPr>
              <w:t xml:space="preserve">в том числе и работы по подготовке планово-высотной геодезической сети, работы по выполнению цифровых моделей местности не только на территории туристско-рекреационной особой экономической зоны на территории </w:t>
            </w:r>
            <w:proofErr w:type="spellStart"/>
            <w:r w:rsidRPr="007A1662">
              <w:rPr>
                <w:rFonts w:eastAsia="Calibri"/>
                <w:color w:val="000000" w:themeColor="text1"/>
                <w:szCs w:val="24"/>
              </w:rPr>
              <w:t>Джейрахского</w:t>
            </w:r>
            <w:proofErr w:type="spellEnd"/>
            <w:r w:rsidRPr="007A1662">
              <w:rPr>
                <w:rFonts w:eastAsia="Calibri"/>
                <w:color w:val="000000" w:themeColor="text1"/>
                <w:szCs w:val="24"/>
              </w:rPr>
              <w:t xml:space="preserve"> муниципального района, но и на прилегающей к ней территории.</w:t>
            </w:r>
            <w:bookmarkStart w:id="0" w:name="_GoBack"/>
            <w:bookmarkEnd w:id="0"/>
          </w:p>
        </w:tc>
      </w:tr>
    </w:tbl>
    <w:p w:rsidR="0019396C" w:rsidRPr="00867404" w:rsidRDefault="0019396C" w:rsidP="0019396C">
      <w:pPr>
        <w:spacing w:after="0" w:line="240" w:lineRule="auto"/>
        <w:rPr>
          <w:sz w:val="26"/>
          <w:szCs w:val="26"/>
        </w:rPr>
      </w:pPr>
    </w:p>
    <w:sectPr w:rsidR="0019396C" w:rsidRPr="00867404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E65"/>
    <w:multiLevelType w:val="hybridMultilevel"/>
    <w:tmpl w:val="030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30468"/>
    <w:rsid w:val="0024503A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40D3C"/>
    <w:rsid w:val="0044358C"/>
    <w:rsid w:val="00453C1E"/>
    <w:rsid w:val="004752B8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A1662"/>
    <w:rsid w:val="007D19BC"/>
    <w:rsid w:val="007E027E"/>
    <w:rsid w:val="0082724A"/>
    <w:rsid w:val="00856CA4"/>
    <w:rsid w:val="0086740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10E6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08FD"/>
    <w:rsid w:val="00E56FBD"/>
    <w:rsid w:val="00EA71FA"/>
    <w:rsid w:val="00ED3EAF"/>
    <w:rsid w:val="00F32CD3"/>
    <w:rsid w:val="00F47232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5D6B-0025-497D-A2D9-3520144E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23</cp:revision>
  <cp:lastPrinted>2014-10-31T15:12:00Z</cp:lastPrinted>
  <dcterms:created xsi:type="dcterms:W3CDTF">2014-06-02T13:30:00Z</dcterms:created>
  <dcterms:modified xsi:type="dcterms:W3CDTF">2015-02-06T08:09:00Z</dcterms:modified>
</cp:coreProperties>
</file>