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C05E99">
        <w:rPr>
          <w:rFonts w:ascii="Times New Roman" w:hAnsi="Times New Roman" w:cs="Times New Roman"/>
          <w:b/>
          <w:sz w:val="24"/>
          <w:szCs w:val="24"/>
        </w:rPr>
        <w:t>27</w:t>
      </w:r>
      <w:r w:rsidR="0094296D" w:rsidRPr="002643A6">
        <w:rPr>
          <w:rFonts w:ascii="Times New Roman" w:hAnsi="Times New Roman" w:cs="Times New Roman"/>
          <w:b/>
          <w:sz w:val="24"/>
          <w:szCs w:val="24"/>
        </w:rPr>
        <w:t>.</w:t>
      </w:r>
      <w:r w:rsidR="009A27FF">
        <w:rPr>
          <w:rFonts w:ascii="Times New Roman" w:hAnsi="Times New Roman" w:cs="Times New Roman"/>
          <w:b/>
          <w:sz w:val="24"/>
          <w:szCs w:val="24"/>
        </w:rPr>
        <w:t>10</w:t>
      </w:r>
      <w:r w:rsidRPr="002643A6">
        <w:rPr>
          <w:rFonts w:ascii="Times New Roman" w:hAnsi="Times New Roman" w:cs="Times New Roman"/>
          <w:b/>
          <w:sz w:val="24"/>
          <w:szCs w:val="24"/>
        </w:rPr>
        <w:t>.</w:t>
      </w:r>
      <w:r w:rsidR="009A27FF">
        <w:rPr>
          <w:rFonts w:ascii="Times New Roman" w:hAnsi="Times New Roman" w:cs="Times New Roman"/>
          <w:b/>
          <w:sz w:val="24"/>
          <w:szCs w:val="24"/>
        </w:rPr>
        <w:t>2020</w:t>
      </w:r>
      <w:r w:rsidRPr="002643A6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2643A6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3A6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643A6" w:rsidRPr="00E7015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B1B82">
        <w:rPr>
          <w:rFonts w:ascii="Times New Roman" w:hAnsi="Times New Roman" w:cs="Times New Roman"/>
          <w:b/>
          <w:sz w:val="24"/>
          <w:szCs w:val="24"/>
        </w:rPr>
        <w:t>05</w:t>
      </w:r>
      <w:r w:rsidR="00E70154" w:rsidRPr="00E70154">
        <w:rPr>
          <w:rFonts w:ascii="Times New Roman" w:hAnsi="Times New Roman" w:cs="Times New Roman"/>
          <w:b/>
          <w:sz w:val="24"/>
          <w:szCs w:val="24"/>
        </w:rPr>
        <w:t>.</w:t>
      </w:r>
      <w:r w:rsidR="00BB6E5B">
        <w:rPr>
          <w:rFonts w:ascii="Times New Roman" w:hAnsi="Times New Roman" w:cs="Times New Roman"/>
          <w:b/>
          <w:sz w:val="24"/>
          <w:szCs w:val="24"/>
        </w:rPr>
        <w:t>10</w:t>
      </w:r>
      <w:r w:rsidR="00E70154" w:rsidRPr="00E70154">
        <w:rPr>
          <w:rFonts w:ascii="Times New Roman" w:hAnsi="Times New Roman" w:cs="Times New Roman"/>
          <w:b/>
          <w:sz w:val="24"/>
          <w:szCs w:val="24"/>
        </w:rPr>
        <w:t>.</w:t>
      </w:r>
      <w:r w:rsidR="009A27FF">
        <w:rPr>
          <w:rFonts w:ascii="Times New Roman" w:hAnsi="Times New Roman" w:cs="Times New Roman"/>
          <w:b/>
          <w:sz w:val="24"/>
          <w:szCs w:val="24"/>
        </w:rPr>
        <w:t>2020</w:t>
      </w:r>
      <w:r w:rsidR="00E70154" w:rsidRPr="00E70154">
        <w:rPr>
          <w:rFonts w:ascii="Times New Roman" w:hAnsi="Times New Roman" w:cs="Times New Roman"/>
          <w:b/>
          <w:sz w:val="24"/>
          <w:szCs w:val="24"/>
        </w:rPr>
        <w:t xml:space="preserve"> г. № </w:t>
      </w:r>
      <w:r w:rsidR="002B1B82">
        <w:rPr>
          <w:rFonts w:ascii="Times New Roman" w:hAnsi="Times New Roman" w:cs="Times New Roman"/>
          <w:b/>
          <w:sz w:val="24"/>
          <w:szCs w:val="24"/>
        </w:rPr>
        <w:t>ОКЭФ-ДРИ-7</w:t>
      </w:r>
      <w:r w:rsidRPr="002643A6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2643A6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5211"/>
      </w:tblGrid>
      <w:tr w:rsidR="00B71F89" w:rsidRPr="002643A6" w:rsidTr="00BC54D2">
        <w:tc>
          <w:tcPr>
            <w:tcW w:w="568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A76831" w:rsidRPr="002643A6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43A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DC747E" w:rsidRPr="002643A6" w:rsidTr="00123F79">
        <w:tc>
          <w:tcPr>
            <w:tcW w:w="568" w:type="dxa"/>
            <w:shd w:val="clear" w:color="auto" w:fill="auto"/>
            <w:vAlign w:val="center"/>
          </w:tcPr>
          <w:p w:rsidR="00DC747E" w:rsidRPr="002643A6" w:rsidRDefault="009A27FF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C747E" w:rsidRPr="002643A6" w:rsidRDefault="00AF1D4B" w:rsidP="00E47D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B">
              <w:rPr>
                <w:rFonts w:ascii="Times New Roman" w:hAnsi="Times New Roman" w:cs="Times New Roman"/>
                <w:sz w:val="24"/>
                <w:szCs w:val="24"/>
              </w:rPr>
              <w:t xml:space="preserve">05.10.2020 г. в Единой информационной системе размещен конкурс с ограниченным участием в электронной форме на право заключения договора на разработку рабочей документации и выполнение строительно-монтажных работ по объектам: «Всесезонный туристско-рекреационный комплекс «Эльбрус», Кабардино-Балкарская Республика. Пассажирская подвесная канатная дорога EL3» и «Всесезонный туристско-рекреационный комплекс «Эльбрус», Кабардино-Балкарская Республика. Пассажирская подвесная канатная дорога EL6». Согласно текста проекта Договора открытого конкурса цена Договора включает в себя стоимость всех работ и затрат по возведению Объекта, предусмотренного Технической документацией, в том числе стоимости: - строительно-монтажных работ и затраты, связанные с хранением на охраняемом складе всего поставленного Давальческого оборудования до передачи его от Заказчика Генподрядчику по акту о приеме-передаче в монтаж; - всех временных дорог, сооружение и/или аренду временных зданий и сооружений для размещения персонала Генподрядчика по нормам, не ниже предусмотренных законодательством Российской Федерации. В ходе изучения документации выявлены несоответствия некоторых позиций Проекта организации строительства (ПОС) и сводного сметного расчета (ССР), что привело к значительному занижению стоимости строительства и фактической невозможности исполнения условий контракта по существующим критериям. Проект организации строительства (ПОС) является обязательным документом для заказчика, подрядных организаций, а также организаций, осуществляющих финансирование и материально-техническое обеспечение строительства, который учитывает подготовку, организацию и осуществление строительства в части его стоимости в экстремальных условиях высокогорного района, труднодоступности к площадкам </w:t>
            </w:r>
            <w:r w:rsidRPr="00AF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строительства, требующих дополнительных затрат по их предупреждению и организации дополнительных мероприятий для обеспечения безопасности работ, большой удаленности строительной площадки от производственных баз строительной индустрии и постоянных мест проживания рабочих кадров, вызывающих значительные и необходимые дополнительные транспортные затраты и расходы, связанные с командированием работников. В связи с указанным Пояснительная записка ПОС содержит: - общее описание канатной дороги и краткую характеристику строительной площадки и обоснование методов производства строительных работ по возведению сложных сооружений, монтажу оборудования ; - расчеты по складам и площадкам хранения и охраны оборудования и конструкций, транспортировке тяжеловесного и негабаритного оборудования и конструкций; - обоснование потребности в рабочих кадрах, их жилищно-бытовое обслуживание, расчет расселения и перевозки к местам производства работ по склону. В представленной проектной документации не учтено : - обустройство и содержание складских площадок (включая закрытые для хранения давальческого оборудования),погрузо-разгузочные работы, охрана давальческого оборудования, затраты на заготовительно-складские расходы оборудования, которые исключены из статьи затрат Подрядчика вместе со стоимостью оборудования(промежуточная складская база оборудуется в пос. Эльбрус на территории автобазы «Турист». Необходимая территория базы берется в аренду, но затраты на аренду складских помещений полностью исключены из расчета НМЦК). - доставка материалов сверх 30км до площадки строительства, в том числе из городов Москва, Санкт-Петербург, Нижний Новгород, Новосибирск и Краснодар, Малкинский песчаный карьер и далее по тракторной серпантинной высокогорной дороге ст. «Азау» - ст. «Кругозор», ст. Мир – нижняя станция EL6 протяженностью 7,8 км. - исключены зимние удорожания при производстве работ в период с отрицательными значениями температур </w:t>
            </w:r>
            <w:r w:rsidRPr="00AF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временных коммуникаций, временных электростанций (ДЭС). - затраты, связанные рекультивацией горнолыжных трасс после окончания двух сезонов строительства объекта и затраты, связанные с очисткой рокадных дорог от снежных завалов перед началом календарного строительного этапа 2021 года; затраты, связанные по обеспечению пожарной безопасности и охраны объектов строительства в течение технологических перерывов производства работ, усиленная охрана объектов строительства, содержанию горноспасательной и медицинской службы; - затраты, связанные с перевозкой рабочих к рабочим местам и обратно внутри строительной площадки Азау- Мир-Линейные объекты приняты номинально без учета фактических затрат и требуют перерасчета согласно нормативных трудозатрат; проживание рабочих-строителей, выплата суточных, проживание и аренда вахтового городка не соответствует действительным ценам командирования и размещения рабочих на поляне Азау. Все эти перечисленные затраты подрядной организации должны быть прописаны в ПОС и, соответственно, в ССР. Однако, по какой-то причине отсутствуют в представленной документации на проведение Вами открытого конкурса с ограниченным участием на право заключения договора и составляют значительный объем стоимости строительства.</w:t>
            </w:r>
          </w:p>
        </w:tc>
        <w:tc>
          <w:tcPr>
            <w:tcW w:w="5211" w:type="dxa"/>
            <w:shd w:val="clear" w:color="auto" w:fill="auto"/>
          </w:tcPr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и содержание складских площадок (включая закрытые для хранения давальческого оборудования), временных коммуникаций, временных электростанций (ДЭС) и других титульных зданий и сооружений предусмотрено в ССР и в расчете НМЦ за счет процентной нормы, учтенной в стоимости строительно-монтажных работ, входящих в элементы, виды, комплексы работ, указанные в смете контракта.</w:t>
            </w:r>
          </w:p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B">
              <w:rPr>
                <w:rFonts w:ascii="Times New Roman" w:hAnsi="Times New Roman" w:cs="Times New Roman"/>
                <w:sz w:val="24"/>
                <w:szCs w:val="24"/>
              </w:rPr>
              <w:t>Согласно п. 40 приложения № 1 к приказу Минстроя РФ№ 841\пр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 (далее- приказ Минстроя РФ№ 841\пр) затраты на титульные временные здания и сооружения учтены в расчетах НМЦ и смете контракта в полной мере, в процентной норме, предусмотренной ССР, в стоимости строительно-монтажных работ, входящих в элементы, виды, комплексы работ, указанные в смете контракта.</w:t>
            </w:r>
          </w:p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B">
              <w:rPr>
                <w:rFonts w:ascii="Times New Roman" w:hAnsi="Times New Roman" w:cs="Times New Roman"/>
                <w:sz w:val="24"/>
                <w:szCs w:val="24"/>
              </w:rPr>
              <w:t>Заготовительно-складские расходы на давальческое оборудование исключены из локальных сметных расчетов по замечаниям ФАУ «Главгосэкспертиза России». Таким образом, затраты по заготовительно-складским расходам в отношении давальческого оборудования в сметной документации и в расчете НМЦ отсутствуют.</w:t>
            </w:r>
          </w:p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доставку материальных ресурсов (далее - МР) свыше 30- км, учтенных федеральными сборниками сметных цен (далее- ФССЦ) исключены из локальных сметных расчетов по замечаниям ФАУ «Главгосэкспертиза России», таким образом,  данные затраты в сметной документации и в расчете НМЦ отсутствуют, однако доставка МР из городов России, цены которых приняты в локальных сметных расчетах по коммерческим </w:t>
            </w:r>
            <w:r w:rsidRPr="00AF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предложениям и прайс-листам, не учитывающим доставку МР, принята в размере 3% на основании требования  ФАУ «Главгосэкспертиза России».</w:t>
            </w:r>
          </w:p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зимнее удорожание учтены в расчетах НМЦ и смете контракта в полной мере, в процентной норме, предусмотренной ССР, в стоимости строительно-монтажных работ, входящих в элементы, виды, комплексы работ, указанные в смете контракта, на основании п. 37 приложения № 1 к приказу Минстроя РФ№ 841\пр. </w:t>
            </w:r>
          </w:p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B">
              <w:rPr>
                <w:rFonts w:ascii="Times New Roman" w:hAnsi="Times New Roman" w:cs="Times New Roman"/>
                <w:sz w:val="24"/>
                <w:szCs w:val="24"/>
              </w:rPr>
              <w:t>Согласно п. 4 и п. 5 приложения 7 действующей на период утверждения сметной документации Методики определения стоимости строительной продукции на территории Российской Федерации МДС 81-35.2004, утвержденной постановлением государственного комитета Российской Федерации по строительству и жилищно-коммунальному комплексу от 05.03.2004 № 15/1(далее- МДС -81.35.2004) сметными нормами временных зданий и сооружений учтено создание и благоустройство временных поселков (в том числе вахтовых), амортизационные отчисления (арендная плата), расходы на текущий ремонт мобильных (инвентарных) зданий контейнерного сборно-разборного типа.</w:t>
            </w:r>
          </w:p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B">
              <w:rPr>
                <w:rFonts w:ascii="Times New Roman" w:hAnsi="Times New Roman" w:cs="Times New Roman"/>
                <w:sz w:val="24"/>
                <w:szCs w:val="24"/>
              </w:rPr>
              <w:t>Кроме того, в ССР учтены согласно  норм постановления Правительства РФ от 02.10.2002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 (далее постановление Правительства РФ № 729) затраты на проживание, включающие в себя в том числе и плату за аренду существующего вахтового городка на п. Азау.</w:t>
            </w:r>
          </w:p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B">
              <w:rPr>
                <w:rFonts w:ascii="Times New Roman" w:hAnsi="Times New Roman" w:cs="Times New Roman"/>
                <w:sz w:val="24"/>
                <w:szCs w:val="24"/>
              </w:rPr>
              <w:t>Размер суточных и размер затрат на проживание ограничены нормами постановления Правительства РФ от 02.10.2002 № 729 согласно действующей на период утверждения сметной документации МДС -81.35.2004.</w:t>
            </w:r>
          </w:p>
          <w:p w:rsidR="00AF1D4B" w:rsidRPr="00AF1D4B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7E" w:rsidRPr="00BC54D2" w:rsidRDefault="00AF1D4B" w:rsidP="00AF1D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B">
              <w:rPr>
                <w:rFonts w:ascii="Times New Roman" w:hAnsi="Times New Roman" w:cs="Times New Roman"/>
                <w:sz w:val="24"/>
                <w:szCs w:val="24"/>
              </w:rPr>
              <w:t xml:space="preserve">В целях возмещения документально обоснованных затрат Подрядчика, не предусмотренных проектной документацией, но необходимых для строительства объекта, </w:t>
            </w:r>
            <w:r w:rsidRPr="00AF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 может использовать статью затрат «Непредвиденные работы и затраты», в свою очередь учтенную НМЦ и сметой контракта.</w:t>
            </w:r>
          </w:p>
        </w:tc>
      </w:tr>
    </w:tbl>
    <w:p w:rsidR="00AB1F7D" w:rsidRPr="002643A6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2643A6" w:rsidSect="00793336">
      <w:headerReference w:type="default" r:id="rId8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AF1D4B">
          <w:rPr>
            <w:rFonts w:ascii="Times New Roman" w:hAnsi="Times New Roman" w:cs="Times New Roman"/>
            <w:noProof/>
          </w:rPr>
          <w:t>3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D7362"/>
    <w:multiLevelType w:val="hybridMultilevel"/>
    <w:tmpl w:val="6FB4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444C8"/>
    <w:rsid w:val="00083564"/>
    <w:rsid w:val="00092974"/>
    <w:rsid w:val="000B56A9"/>
    <w:rsid w:val="000E3609"/>
    <w:rsid w:val="000F4CE5"/>
    <w:rsid w:val="0011275B"/>
    <w:rsid w:val="001201C9"/>
    <w:rsid w:val="00123F7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643A6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B1B82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E74D3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27FF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AF1D4B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6E5B"/>
    <w:rsid w:val="00BB704D"/>
    <w:rsid w:val="00BC2023"/>
    <w:rsid w:val="00BC3084"/>
    <w:rsid w:val="00BC54D2"/>
    <w:rsid w:val="00BE10E2"/>
    <w:rsid w:val="00BE5F3C"/>
    <w:rsid w:val="00C05E99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C747E"/>
    <w:rsid w:val="00DD19AA"/>
    <w:rsid w:val="00DE5797"/>
    <w:rsid w:val="00E03C3B"/>
    <w:rsid w:val="00E05D00"/>
    <w:rsid w:val="00E17413"/>
    <w:rsid w:val="00E3076B"/>
    <w:rsid w:val="00E40A69"/>
    <w:rsid w:val="00E41799"/>
    <w:rsid w:val="00E47D5F"/>
    <w:rsid w:val="00E647A0"/>
    <w:rsid w:val="00E70154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80696E"/>
  <w15:docId w15:val="{2F0D88A3-4947-4AF7-B8F4-90FE3CCF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2247-D7F2-48A2-9F8D-8C45D10E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1361</Words>
  <Characters>7759</Characters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2019-07-12T13:50:00Z</cp:lastPrinted>
  <dcterms:created xsi:type="dcterms:W3CDTF">2014-11-10T09:02:00Z</dcterms:created>
  <dcterms:modified xsi:type="dcterms:W3CDTF">2020-10-27T09:17:00Z</dcterms:modified>
</cp:coreProperties>
</file>